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rPr>
          <w:rFonts w:ascii="Times New Roman" w:hAnsi="Times New Roman" w:eastAsia="黑体" w:cs="Times New Roman"/>
          <w:color w:val="000000"/>
          <w:sz w:val="32"/>
          <w:szCs w:val="32"/>
        </w:rPr>
      </w:pPr>
      <w:r>
        <w:rPr>
          <w:rFonts w:hint="eastAsia" w:ascii="黑体" w:hAnsi="黑体" w:eastAsia="黑体" w:cs="黑体"/>
          <w:b w:val="0"/>
          <w:bCs w:val="0"/>
          <w:color w:val="000000"/>
          <w:sz w:val="32"/>
          <w:szCs w:val="32"/>
        </w:rPr>
        <w:t>附件2</w:t>
      </w:r>
    </w:p>
    <w:p>
      <w:pPr>
        <w:spacing w:line="560" w:lineRule="exact"/>
        <w:jc w:val="center"/>
        <w:rPr>
          <w:rFonts w:eastAsia="方正小标宋简体"/>
          <w:color w:val="000000"/>
          <w:kern w:val="0"/>
          <w:sz w:val="44"/>
          <w:szCs w:val="44"/>
        </w:rPr>
      </w:pPr>
    </w:p>
    <w:p>
      <w:pPr>
        <w:spacing w:line="560" w:lineRule="exact"/>
        <w:jc w:val="center"/>
        <w:rPr>
          <w:rFonts w:eastAsia="方正小标宋简体"/>
          <w:color w:val="000000"/>
          <w:kern w:val="0"/>
          <w:sz w:val="44"/>
          <w:szCs w:val="44"/>
        </w:rPr>
      </w:pPr>
      <w:r>
        <w:rPr>
          <w:rFonts w:eastAsia="方正小标宋简体"/>
          <w:color w:val="000000"/>
          <w:kern w:val="0"/>
          <w:sz w:val="44"/>
          <w:szCs w:val="44"/>
        </w:rPr>
        <w:t>2021年度自创区（一区一廊）主动设计</w:t>
      </w:r>
    </w:p>
    <w:p>
      <w:pPr>
        <w:spacing w:line="560" w:lineRule="exact"/>
        <w:jc w:val="center"/>
        <w:rPr>
          <w:rFonts w:eastAsia="方正小标宋简体"/>
          <w:color w:val="000000"/>
          <w:kern w:val="0"/>
          <w:sz w:val="44"/>
          <w:szCs w:val="44"/>
        </w:rPr>
      </w:pPr>
      <w:r>
        <w:rPr>
          <w:rFonts w:eastAsia="方正小标宋简体"/>
          <w:color w:val="000000"/>
          <w:kern w:val="0"/>
          <w:sz w:val="44"/>
          <w:szCs w:val="44"/>
        </w:rPr>
        <w:t>（揭榜挂帅）项目申报指南</w:t>
      </w:r>
    </w:p>
    <w:p>
      <w:pPr>
        <w:pStyle w:val="2"/>
      </w:pPr>
    </w:p>
    <w:tbl>
      <w:tblPr>
        <w:tblStyle w:val="6"/>
        <w:tblW w:w="539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667"/>
        <w:gridCol w:w="5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01" w:type="pct"/>
            <w:shd w:val="clear" w:color="auto" w:fill="auto"/>
            <w:noWrap/>
            <w:tcMar>
              <w:top w:w="15" w:type="dxa"/>
              <w:left w:w="15" w:type="dxa"/>
              <w:right w:w="15" w:type="dxa"/>
            </w:tcMar>
            <w:vAlign w:val="center"/>
          </w:tcPr>
          <w:p>
            <w:pPr>
              <w:widowControl/>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专项</w:t>
            </w:r>
          </w:p>
        </w:tc>
        <w:tc>
          <w:tcPr>
            <w:tcW w:w="3699" w:type="pct"/>
            <w:gridSpan w:val="2"/>
            <w:shd w:val="clear" w:color="auto" w:fill="auto"/>
            <w:noWrap/>
            <w:tcMar>
              <w:top w:w="15" w:type="dxa"/>
              <w:left w:w="15" w:type="dxa"/>
              <w:right w:w="15" w:type="dxa"/>
            </w:tcMar>
            <w:vAlign w:val="center"/>
          </w:tcPr>
          <w:p>
            <w:pPr>
              <w:widowControl/>
              <w:jc w:val="center"/>
              <w:textAlignment w:val="center"/>
              <w:rPr>
                <w:rFonts w:ascii="黑体" w:hAnsi="黑体" w:eastAsia="黑体" w:cs="黑体"/>
                <w:bCs/>
                <w:color w:val="000000"/>
                <w:kern w:val="0"/>
                <w:sz w:val="32"/>
                <w:szCs w:val="32"/>
                <w:lang w:bidi="ar"/>
              </w:rPr>
            </w:pPr>
            <w:r>
              <w:rPr>
                <w:rFonts w:hint="eastAsia" w:ascii="黑体" w:hAnsi="黑体" w:eastAsia="黑体" w:cs="黑体"/>
                <w:bCs/>
                <w:color w:val="000000"/>
                <w:kern w:val="0"/>
                <w:sz w:val="32"/>
                <w:szCs w:val="32"/>
                <w:lang w:bidi="ar"/>
              </w:rPr>
              <w:t>专题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01" w:type="pct"/>
            <w:vMerge w:val="restart"/>
            <w:shd w:val="clear" w:color="auto" w:fill="auto"/>
            <w:noWrap/>
            <w:tcMar>
              <w:top w:w="15" w:type="dxa"/>
              <w:left w:w="15" w:type="dxa"/>
              <w:right w:w="15" w:type="dxa"/>
            </w:tcMar>
            <w:vAlign w:val="center"/>
          </w:tcPr>
          <w:p>
            <w:pPr>
              <w:widowControl/>
              <w:jc w:val="center"/>
              <w:textAlignment w:val="center"/>
              <w:rPr>
                <w:rFonts w:eastAsia="楷体_GB2312"/>
                <w:color w:val="000000"/>
                <w:sz w:val="32"/>
                <w:szCs w:val="32"/>
              </w:rPr>
            </w:pPr>
            <w:r>
              <w:rPr>
                <w:rFonts w:eastAsia="楷体_GB2312"/>
                <w:color w:val="000000"/>
                <w:kern w:val="0"/>
                <w:sz w:val="32"/>
                <w:szCs w:val="32"/>
                <w:lang w:bidi="ar"/>
              </w:rPr>
              <w:t>一、节能与新能源汽车</w:t>
            </w:r>
          </w:p>
        </w:tc>
        <w:tc>
          <w:tcPr>
            <w:tcW w:w="371" w:type="pct"/>
            <w:shd w:val="clear" w:color="auto" w:fill="auto"/>
            <w:noWrap/>
            <w:tcMar>
              <w:top w:w="15" w:type="dxa"/>
              <w:left w:w="15" w:type="dxa"/>
              <w:right w:w="15" w:type="dxa"/>
            </w:tcMar>
            <w:vAlign w:val="center"/>
          </w:tcPr>
          <w:p>
            <w:pPr>
              <w:widowControl/>
              <w:jc w:val="center"/>
              <w:textAlignment w:val="center"/>
              <w:rPr>
                <w:rFonts w:eastAsia="仿宋_GB2312"/>
                <w:color w:val="000000"/>
                <w:sz w:val="32"/>
                <w:szCs w:val="32"/>
              </w:rPr>
            </w:pPr>
            <w:r>
              <w:rPr>
                <w:rFonts w:eastAsia="仿宋_GB2312"/>
                <w:color w:val="000000"/>
                <w:sz w:val="32"/>
                <w:szCs w:val="32"/>
              </w:rPr>
              <w:t>1</w:t>
            </w:r>
          </w:p>
        </w:tc>
        <w:tc>
          <w:tcPr>
            <w:tcW w:w="3329" w:type="pct"/>
            <w:shd w:val="clear" w:color="auto" w:fill="auto"/>
            <w:noWrap/>
            <w:tcMar>
              <w:top w:w="15" w:type="dxa"/>
              <w:left w:w="15" w:type="dxa"/>
              <w:right w:w="15" w:type="dxa"/>
            </w:tcMar>
            <w:vAlign w:val="center"/>
          </w:tcPr>
          <w:p>
            <w:pPr>
              <w:widowControl/>
              <w:jc w:val="left"/>
              <w:textAlignment w:val="center"/>
              <w:rPr>
                <w:rFonts w:eastAsia="仿宋_GB2312"/>
                <w:color w:val="000000"/>
                <w:sz w:val="32"/>
                <w:szCs w:val="32"/>
              </w:rPr>
            </w:pPr>
            <w:r>
              <w:rPr>
                <w:rFonts w:eastAsia="仿宋_GB2312"/>
                <w:color w:val="000000"/>
                <w:sz w:val="32"/>
                <w:szCs w:val="32"/>
              </w:rPr>
              <w:t>车载高精度传感器件与模块研发及应用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01" w:type="pct"/>
            <w:vMerge w:val="continue"/>
            <w:shd w:val="clear" w:color="auto" w:fill="auto"/>
            <w:noWrap/>
            <w:tcMar>
              <w:top w:w="15" w:type="dxa"/>
              <w:left w:w="15" w:type="dxa"/>
              <w:right w:w="15" w:type="dxa"/>
            </w:tcMar>
            <w:vAlign w:val="center"/>
          </w:tcPr>
          <w:p>
            <w:pPr>
              <w:jc w:val="center"/>
              <w:rPr>
                <w:rFonts w:eastAsia="楷体_GB2312"/>
                <w:color w:val="000000"/>
                <w:sz w:val="32"/>
                <w:szCs w:val="32"/>
              </w:rPr>
            </w:pPr>
          </w:p>
        </w:tc>
        <w:tc>
          <w:tcPr>
            <w:tcW w:w="371" w:type="pct"/>
            <w:shd w:val="clear" w:color="auto" w:fill="auto"/>
            <w:noWrap/>
            <w:tcMar>
              <w:top w:w="15" w:type="dxa"/>
              <w:left w:w="15" w:type="dxa"/>
              <w:right w:w="15" w:type="dxa"/>
            </w:tcMar>
            <w:vAlign w:val="center"/>
          </w:tcPr>
          <w:p>
            <w:pPr>
              <w:widowControl/>
              <w:jc w:val="center"/>
              <w:textAlignment w:val="center"/>
              <w:rPr>
                <w:rFonts w:eastAsia="仿宋_GB2312"/>
                <w:color w:val="000000"/>
                <w:sz w:val="32"/>
                <w:szCs w:val="32"/>
              </w:rPr>
            </w:pPr>
            <w:r>
              <w:rPr>
                <w:rFonts w:eastAsia="仿宋_GB2312"/>
                <w:color w:val="000000"/>
                <w:sz w:val="32"/>
                <w:szCs w:val="32"/>
              </w:rPr>
              <w:t>2</w:t>
            </w:r>
          </w:p>
        </w:tc>
        <w:tc>
          <w:tcPr>
            <w:tcW w:w="3329" w:type="pct"/>
            <w:shd w:val="clear" w:color="auto" w:fill="auto"/>
            <w:noWrap/>
            <w:tcMar>
              <w:top w:w="15" w:type="dxa"/>
              <w:left w:w="15" w:type="dxa"/>
              <w:right w:w="15" w:type="dxa"/>
            </w:tcMar>
            <w:vAlign w:val="center"/>
          </w:tcPr>
          <w:p>
            <w:pPr>
              <w:widowControl/>
              <w:jc w:val="left"/>
              <w:textAlignment w:val="center"/>
              <w:rPr>
                <w:rFonts w:eastAsia="仿宋_GB2312"/>
                <w:color w:val="000000"/>
                <w:sz w:val="32"/>
                <w:szCs w:val="32"/>
              </w:rPr>
            </w:pPr>
            <w:r>
              <w:rPr>
                <w:rFonts w:eastAsia="仿宋_GB2312"/>
                <w:color w:val="000000"/>
                <w:sz w:val="32"/>
                <w:szCs w:val="32"/>
              </w:rPr>
              <w:t>新能源汽车电控智能悬架系统研发及应用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01" w:type="pct"/>
            <w:vMerge w:val="continue"/>
            <w:shd w:val="clear" w:color="auto" w:fill="auto"/>
            <w:noWrap/>
            <w:tcMar>
              <w:top w:w="15" w:type="dxa"/>
              <w:left w:w="15" w:type="dxa"/>
              <w:right w:w="15" w:type="dxa"/>
            </w:tcMar>
            <w:vAlign w:val="center"/>
          </w:tcPr>
          <w:p>
            <w:pPr>
              <w:jc w:val="center"/>
              <w:rPr>
                <w:rFonts w:eastAsia="楷体_GB2312"/>
                <w:color w:val="000000"/>
                <w:sz w:val="32"/>
                <w:szCs w:val="32"/>
              </w:rPr>
            </w:pPr>
          </w:p>
        </w:tc>
        <w:tc>
          <w:tcPr>
            <w:tcW w:w="371" w:type="pct"/>
            <w:shd w:val="clear" w:color="auto" w:fill="auto"/>
            <w:noWrap/>
            <w:tcMar>
              <w:top w:w="15" w:type="dxa"/>
              <w:left w:w="15" w:type="dxa"/>
              <w:right w:w="15" w:type="dxa"/>
            </w:tcMar>
            <w:vAlign w:val="center"/>
          </w:tcPr>
          <w:p>
            <w:pPr>
              <w:widowControl/>
              <w:jc w:val="center"/>
              <w:textAlignment w:val="center"/>
              <w:rPr>
                <w:rFonts w:eastAsia="仿宋_GB2312"/>
                <w:color w:val="000000"/>
                <w:sz w:val="32"/>
                <w:szCs w:val="32"/>
              </w:rPr>
            </w:pPr>
            <w:r>
              <w:rPr>
                <w:rFonts w:eastAsia="仿宋_GB2312"/>
                <w:color w:val="000000"/>
                <w:sz w:val="32"/>
                <w:szCs w:val="32"/>
              </w:rPr>
              <w:t>3</w:t>
            </w:r>
          </w:p>
        </w:tc>
        <w:tc>
          <w:tcPr>
            <w:tcW w:w="3329" w:type="pct"/>
            <w:shd w:val="clear" w:color="auto" w:fill="auto"/>
            <w:noWrap/>
            <w:tcMar>
              <w:top w:w="15" w:type="dxa"/>
              <w:left w:w="15" w:type="dxa"/>
              <w:right w:w="15" w:type="dxa"/>
            </w:tcMar>
            <w:vAlign w:val="center"/>
          </w:tcPr>
          <w:p>
            <w:pPr>
              <w:widowControl/>
              <w:jc w:val="left"/>
              <w:textAlignment w:val="center"/>
              <w:rPr>
                <w:rFonts w:eastAsia="仿宋_GB2312"/>
                <w:color w:val="000000"/>
                <w:sz w:val="32"/>
                <w:szCs w:val="32"/>
              </w:rPr>
            </w:pPr>
            <w:r>
              <w:rPr>
                <w:rFonts w:eastAsia="仿宋_GB2312"/>
                <w:color w:val="000000"/>
                <w:sz w:val="32"/>
                <w:szCs w:val="32"/>
              </w:rPr>
              <w:t>BMS电池组智能管理系统研发及应用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01" w:type="pct"/>
            <w:vMerge w:val="continue"/>
            <w:shd w:val="clear" w:color="auto" w:fill="auto"/>
            <w:noWrap/>
            <w:tcMar>
              <w:top w:w="15" w:type="dxa"/>
              <w:left w:w="15" w:type="dxa"/>
              <w:right w:w="15" w:type="dxa"/>
            </w:tcMar>
            <w:vAlign w:val="center"/>
          </w:tcPr>
          <w:p>
            <w:pPr>
              <w:jc w:val="center"/>
              <w:rPr>
                <w:rFonts w:eastAsia="楷体_GB2312"/>
                <w:color w:val="000000"/>
                <w:sz w:val="32"/>
                <w:szCs w:val="32"/>
              </w:rPr>
            </w:pPr>
          </w:p>
        </w:tc>
        <w:tc>
          <w:tcPr>
            <w:tcW w:w="371" w:type="pct"/>
            <w:shd w:val="clear" w:color="auto" w:fill="auto"/>
            <w:noWrap/>
            <w:tcMar>
              <w:top w:w="15" w:type="dxa"/>
              <w:left w:w="15" w:type="dxa"/>
              <w:right w:w="15" w:type="dxa"/>
            </w:tcMar>
            <w:vAlign w:val="center"/>
          </w:tcPr>
          <w:p>
            <w:pPr>
              <w:widowControl/>
              <w:jc w:val="center"/>
              <w:textAlignment w:val="center"/>
              <w:rPr>
                <w:rFonts w:eastAsia="仿宋_GB2312"/>
                <w:color w:val="000000"/>
                <w:sz w:val="32"/>
                <w:szCs w:val="32"/>
              </w:rPr>
            </w:pPr>
            <w:r>
              <w:rPr>
                <w:rFonts w:eastAsia="仿宋_GB2312"/>
                <w:color w:val="000000"/>
                <w:sz w:val="32"/>
                <w:szCs w:val="32"/>
              </w:rPr>
              <w:t>4</w:t>
            </w:r>
          </w:p>
        </w:tc>
        <w:tc>
          <w:tcPr>
            <w:tcW w:w="3329" w:type="pct"/>
            <w:shd w:val="clear" w:color="auto" w:fill="auto"/>
            <w:noWrap/>
            <w:tcMar>
              <w:top w:w="15" w:type="dxa"/>
              <w:left w:w="15" w:type="dxa"/>
              <w:right w:w="15" w:type="dxa"/>
            </w:tcMar>
            <w:vAlign w:val="center"/>
          </w:tcPr>
          <w:p>
            <w:pPr>
              <w:widowControl/>
              <w:jc w:val="left"/>
              <w:textAlignment w:val="center"/>
              <w:rPr>
                <w:rFonts w:eastAsia="仿宋_GB2312"/>
                <w:color w:val="000000"/>
                <w:sz w:val="32"/>
                <w:szCs w:val="32"/>
              </w:rPr>
            </w:pPr>
            <w:r>
              <w:rPr>
                <w:rFonts w:eastAsia="仿宋_GB2312"/>
                <w:color w:val="000000"/>
                <w:sz w:val="32"/>
                <w:szCs w:val="32"/>
              </w:rPr>
              <w:t>湿式双离合变速器电子控制模块研发及应用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01" w:type="pct"/>
            <w:vMerge w:val="continue"/>
            <w:shd w:val="clear" w:color="auto" w:fill="auto"/>
            <w:noWrap/>
            <w:tcMar>
              <w:top w:w="15" w:type="dxa"/>
              <w:left w:w="15" w:type="dxa"/>
              <w:right w:w="15" w:type="dxa"/>
            </w:tcMar>
            <w:vAlign w:val="center"/>
          </w:tcPr>
          <w:p>
            <w:pPr>
              <w:jc w:val="center"/>
              <w:rPr>
                <w:rFonts w:eastAsia="楷体_GB2312"/>
                <w:color w:val="000000"/>
                <w:sz w:val="32"/>
                <w:szCs w:val="32"/>
              </w:rPr>
            </w:pPr>
          </w:p>
        </w:tc>
        <w:tc>
          <w:tcPr>
            <w:tcW w:w="371" w:type="pct"/>
            <w:shd w:val="clear" w:color="auto" w:fill="auto"/>
            <w:noWrap/>
            <w:tcMar>
              <w:top w:w="15" w:type="dxa"/>
              <w:left w:w="15" w:type="dxa"/>
              <w:right w:w="15" w:type="dxa"/>
            </w:tcMar>
            <w:vAlign w:val="center"/>
          </w:tcPr>
          <w:p>
            <w:pPr>
              <w:widowControl/>
              <w:jc w:val="center"/>
              <w:textAlignment w:val="center"/>
              <w:rPr>
                <w:rFonts w:eastAsia="仿宋_GB2312"/>
                <w:color w:val="000000"/>
                <w:sz w:val="32"/>
                <w:szCs w:val="32"/>
              </w:rPr>
            </w:pPr>
            <w:r>
              <w:rPr>
                <w:rFonts w:eastAsia="仿宋_GB2312"/>
                <w:color w:val="000000"/>
                <w:sz w:val="32"/>
                <w:szCs w:val="32"/>
              </w:rPr>
              <w:t>5</w:t>
            </w:r>
          </w:p>
        </w:tc>
        <w:tc>
          <w:tcPr>
            <w:tcW w:w="3329" w:type="pct"/>
            <w:shd w:val="clear" w:color="auto" w:fill="auto"/>
            <w:noWrap/>
            <w:tcMar>
              <w:top w:w="15" w:type="dxa"/>
              <w:left w:w="15" w:type="dxa"/>
              <w:right w:w="15" w:type="dxa"/>
            </w:tcMar>
            <w:vAlign w:val="center"/>
          </w:tcPr>
          <w:p>
            <w:pPr>
              <w:widowControl/>
              <w:jc w:val="left"/>
              <w:textAlignment w:val="center"/>
              <w:rPr>
                <w:rFonts w:eastAsia="仿宋_GB2312"/>
                <w:color w:val="000000"/>
                <w:sz w:val="32"/>
                <w:szCs w:val="32"/>
              </w:rPr>
            </w:pPr>
            <w:r>
              <w:rPr>
                <w:rFonts w:eastAsia="仿宋_GB2312"/>
                <w:color w:val="000000"/>
                <w:sz w:val="32"/>
                <w:szCs w:val="32"/>
              </w:rPr>
              <w:t>轨道车辆架控制动系统研发及应用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1301" w:type="pct"/>
            <w:vMerge w:val="restart"/>
            <w:shd w:val="clear" w:color="auto" w:fill="auto"/>
            <w:noWrap/>
            <w:tcMar>
              <w:top w:w="15" w:type="dxa"/>
              <w:left w:w="15" w:type="dxa"/>
              <w:right w:w="15" w:type="dxa"/>
            </w:tcMar>
            <w:vAlign w:val="center"/>
          </w:tcPr>
          <w:p>
            <w:pPr>
              <w:widowControl/>
              <w:jc w:val="center"/>
              <w:textAlignment w:val="center"/>
              <w:rPr>
                <w:rFonts w:eastAsia="楷体_GB2312"/>
                <w:color w:val="000000"/>
                <w:sz w:val="32"/>
                <w:szCs w:val="32"/>
              </w:rPr>
            </w:pPr>
            <w:r>
              <w:rPr>
                <w:rFonts w:eastAsia="楷体_GB2312"/>
                <w:color w:val="000000"/>
                <w:kern w:val="0"/>
                <w:sz w:val="32"/>
                <w:szCs w:val="32"/>
                <w:lang w:bidi="ar"/>
              </w:rPr>
              <w:t>二、激光与光电</w:t>
            </w:r>
          </w:p>
        </w:tc>
        <w:tc>
          <w:tcPr>
            <w:tcW w:w="371" w:type="pct"/>
            <w:shd w:val="clear" w:color="auto" w:fill="auto"/>
            <w:noWrap/>
            <w:tcMar>
              <w:top w:w="15" w:type="dxa"/>
              <w:left w:w="15" w:type="dxa"/>
              <w:right w:w="15" w:type="dxa"/>
            </w:tcMar>
            <w:vAlign w:val="center"/>
          </w:tcPr>
          <w:p>
            <w:pPr>
              <w:widowControl/>
              <w:jc w:val="center"/>
              <w:textAlignment w:val="center"/>
              <w:rPr>
                <w:rFonts w:eastAsia="仿宋_GB2312"/>
                <w:color w:val="000000"/>
                <w:sz w:val="32"/>
                <w:szCs w:val="32"/>
              </w:rPr>
            </w:pPr>
            <w:r>
              <w:rPr>
                <w:rFonts w:eastAsia="仿宋_GB2312"/>
                <w:color w:val="000000"/>
                <w:sz w:val="32"/>
                <w:szCs w:val="32"/>
              </w:rPr>
              <w:t>6</w:t>
            </w:r>
          </w:p>
        </w:tc>
        <w:tc>
          <w:tcPr>
            <w:tcW w:w="3329" w:type="pct"/>
            <w:shd w:val="clear" w:color="auto" w:fill="auto"/>
            <w:noWrap/>
            <w:tcMar>
              <w:top w:w="15" w:type="dxa"/>
              <w:left w:w="15" w:type="dxa"/>
              <w:right w:w="15" w:type="dxa"/>
            </w:tcMar>
            <w:vAlign w:val="center"/>
          </w:tcPr>
          <w:p>
            <w:pPr>
              <w:widowControl/>
              <w:jc w:val="left"/>
              <w:textAlignment w:val="center"/>
              <w:rPr>
                <w:rFonts w:eastAsia="仿宋_GB2312"/>
                <w:color w:val="000000"/>
                <w:sz w:val="32"/>
                <w:szCs w:val="32"/>
              </w:rPr>
            </w:pPr>
            <w:r>
              <w:rPr>
                <w:rFonts w:eastAsia="仿宋_GB2312"/>
                <w:color w:val="000000"/>
                <w:sz w:val="32"/>
                <w:szCs w:val="32"/>
              </w:rPr>
              <w:t>三维五轴激光切割焊接一体化成套设备研发及应用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01" w:type="pct"/>
            <w:vMerge w:val="continue"/>
            <w:shd w:val="clear" w:color="auto" w:fill="auto"/>
            <w:noWrap/>
            <w:tcMar>
              <w:top w:w="15" w:type="dxa"/>
              <w:left w:w="15" w:type="dxa"/>
              <w:right w:w="15" w:type="dxa"/>
            </w:tcMar>
            <w:vAlign w:val="center"/>
          </w:tcPr>
          <w:p>
            <w:pPr>
              <w:widowControl/>
              <w:jc w:val="center"/>
              <w:textAlignment w:val="center"/>
              <w:rPr>
                <w:rFonts w:eastAsia="楷体_GB2312"/>
                <w:color w:val="000000"/>
                <w:kern w:val="0"/>
                <w:sz w:val="32"/>
                <w:szCs w:val="32"/>
                <w:lang w:bidi="ar"/>
              </w:rPr>
            </w:pPr>
          </w:p>
        </w:tc>
        <w:tc>
          <w:tcPr>
            <w:tcW w:w="371" w:type="pct"/>
            <w:shd w:val="clear" w:color="auto" w:fill="auto"/>
            <w:noWrap/>
            <w:tcMar>
              <w:top w:w="15" w:type="dxa"/>
              <w:left w:w="15" w:type="dxa"/>
              <w:right w:w="15" w:type="dxa"/>
            </w:tcMar>
            <w:vAlign w:val="center"/>
          </w:tcPr>
          <w:p>
            <w:pPr>
              <w:widowControl/>
              <w:jc w:val="center"/>
              <w:textAlignment w:val="center"/>
              <w:rPr>
                <w:rFonts w:eastAsia="仿宋_GB2312"/>
                <w:color w:val="000000"/>
                <w:sz w:val="32"/>
                <w:szCs w:val="32"/>
              </w:rPr>
            </w:pPr>
            <w:r>
              <w:rPr>
                <w:rFonts w:eastAsia="仿宋_GB2312"/>
                <w:color w:val="000000"/>
                <w:sz w:val="32"/>
                <w:szCs w:val="32"/>
              </w:rPr>
              <w:t>7</w:t>
            </w:r>
          </w:p>
        </w:tc>
        <w:tc>
          <w:tcPr>
            <w:tcW w:w="3329" w:type="pct"/>
            <w:shd w:val="clear" w:color="auto" w:fill="auto"/>
            <w:noWrap/>
            <w:tcMar>
              <w:top w:w="15" w:type="dxa"/>
              <w:left w:w="15" w:type="dxa"/>
              <w:right w:w="15" w:type="dxa"/>
            </w:tcMar>
            <w:vAlign w:val="center"/>
          </w:tcPr>
          <w:p>
            <w:pPr>
              <w:widowControl/>
              <w:jc w:val="left"/>
              <w:textAlignment w:val="center"/>
              <w:rPr>
                <w:rFonts w:eastAsia="仿宋_GB2312"/>
                <w:color w:val="000000"/>
                <w:kern w:val="0"/>
                <w:sz w:val="32"/>
                <w:szCs w:val="32"/>
                <w:lang w:bidi="ar"/>
              </w:rPr>
            </w:pPr>
            <w:r>
              <w:rPr>
                <w:rFonts w:eastAsia="仿宋_GB2312"/>
                <w:color w:val="000000"/>
                <w:sz w:val="32"/>
                <w:szCs w:val="32"/>
              </w:rPr>
              <w:t>大厚度坡口激光切割装备研发及应用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01" w:type="pct"/>
            <w:vMerge w:val="continue"/>
            <w:shd w:val="clear" w:color="auto" w:fill="auto"/>
            <w:noWrap/>
            <w:tcMar>
              <w:top w:w="15" w:type="dxa"/>
              <w:left w:w="15" w:type="dxa"/>
              <w:right w:w="15" w:type="dxa"/>
            </w:tcMar>
            <w:vAlign w:val="center"/>
          </w:tcPr>
          <w:p>
            <w:pPr>
              <w:widowControl/>
              <w:jc w:val="center"/>
              <w:textAlignment w:val="center"/>
              <w:rPr>
                <w:rFonts w:eastAsia="楷体_GB2312"/>
                <w:color w:val="000000"/>
                <w:kern w:val="0"/>
                <w:sz w:val="32"/>
                <w:szCs w:val="32"/>
                <w:lang w:bidi="ar"/>
              </w:rPr>
            </w:pPr>
          </w:p>
        </w:tc>
        <w:tc>
          <w:tcPr>
            <w:tcW w:w="371" w:type="pct"/>
            <w:shd w:val="clear" w:color="auto" w:fill="auto"/>
            <w:noWrap/>
            <w:tcMar>
              <w:top w:w="15" w:type="dxa"/>
              <w:left w:w="15" w:type="dxa"/>
              <w:right w:w="15" w:type="dxa"/>
            </w:tcMar>
            <w:vAlign w:val="center"/>
          </w:tcPr>
          <w:p>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8</w:t>
            </w:r>
          </w:p>
        </w:tc>
        <w:tc>
          <w:tcPr>
            <w:tcW w:w="3329" w:type="pct"/>
            <w:shd w:val="clear" w:color="auto" w:fill="auto"/>
            <w:noWrap/>
            <w:tcMar>
              <w:top w:w="15" w:type="dxa"/>
              <w:left w:w="15" w:type="dxa"/>
              <w:right w:w="15" w:type="dxa"/>
            </w:tcMar>
            <w:vAlign w:val="center"/>
          </w:tcPr>
          <w:p>
            <w:pPr>
              <w:widowControl/>
              <w:jc w:val="left"/>
              <w:textAlignment w:val="center"/>
              <w:rPr>
                <w:rFonts w:eastAsia="仿宋_GB2312"/>
                <w:color w:val="000000"/>
                <w:sz w:val="32"/>
                <w:szCs w:val="32"/>
              </w:rPr>
            </w:pPr>
            <w:r>
              <w:rPr>
                <w:rFonts w:eastAsia="仿宋_GB2312"/>
                <w:color w:val="000000"/>
                <w:kern w:val="0"/>
                <w:sz w:val="32"/>
                <w:szCs w:val="32"/>
                <w:lang w:bidi="ar"/>
              </w:rPr>
              <w:t>宏通道双面主动冷却高功率半导体激光器研发及应用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01" w:type="pct"/>
            <w:vMerge w:val="continue"/>
            <w:shd w:val="clear" w:color="auto" w:fill="auto"/>
            <w:noWrap/>
            <w:tcMar>
              <w:top w:w="15" w:type="dxa"/>
              <w:left w:w="15" w:type="dxa"/>
              <w:right w:w="15" w:type="dxa"/>
            </w:tcMar>
            <w:vAlign w:val="center"/>
          </w:tcPr>
          <w:p>
            <w:pPr>
              <w:widowControl/>
              <w:jc w:val="center"/>
              <w:textAlignment w:val="center"/>
              <w:rPr>
                <w:rFonts w:eastAsia="楷体_GB2312"/>
                <w:color w:val="000000"/>
                <w:kern w:val="0"/>
                <w:sz w:val="32"/>
                <w:szCs w:val="32"/>
                <w:lang w:bidi="ar"/>
              </w:rPr>
            </w:pPr>
          </w:p>
        </w:tc>
        <w:tc>
          <w:tcPr>
            <w:tcW w:w="371" w:type="pct"/>
            <w:shd w:val="clear" w:color="auto" w:fill="auto"/>
            <w:noWrap/>
            <w:tcMar>
              <w:top w:w="15" w:type="dxa"/>
              <w:left w:w="15" w:type="dxa"/>
              <w:right w:w="15" w:type="dxa"/>
            </w:tcMar>
            <w:vAlign w:val="center"/>
          </w:tcPr>
          <w:p>
            <w:pPr>
              <w:widowControl/>
              <w:jc w:val="center"/>
              <w:textAlignment w:val="center"/>
              <w:rPr>
                <w:rFonts w:eastAsia="仿宋_GB2312"/>
                <w:color w:val="000000"/>
                <w:sz w:val="32"/>
                <w:szCs w:val="32"/>
              </w:rPr>
            </w:pPr>
            <w:r>
              <w:rPr>
                <w:rFonts w:eastAsia="仿宋_GB2312"/>
                <w:color w:val="000000"/>
                <w:sz w:val="32"/>
                <w:szCs w:val="32"/>
              </w:rPr>
              <w:t>9</w:t>
            </w:r>
          </w:p>
        </w:tc>
        <w:tc>
          <w:tcPr>
            <w:tcW w:w="3329" w:type="pct"/>
            <w:shd w:val="clear" w:color="auto" w:fill="auto"/>
            <w:noWrap/>
            <w:tcMar>
              <w:top w:w="15" w:type="dxa"/>
              <w:left w:w="15" w:type="dxa"/>
              <w:right w:w="15" w:type="dxa"/>
            </w:tcMar>
            <w:vAlign w:val="center"/>
          </w:tcPr>
          <w:p>
            <w:pPr>
              <w:widowControl/>
              <w:jc w:val="left"/>
              <w:textAlignment w:val="center"/>
              <w:rPr>
                <w:rFonts w:eastAsia="仿宋_GB2312"/>
                <w:color w:val="000000"/>
                <w:kern w:val="0"/>
                <w:sz w:val="32"/>
                <w:szCs w:val="32"/>
                <w:lang w:bidi="ar"/>
              </w:rPr>
            </w:pPr>
            <w:r>
              <w:rPr>
                <w:rFonts w:eastAsia="仿宋_GB2312"/>
                <w:color w:val="000000"/>
                <w:sz w:val="32"/>
                <w:szCs w:val="32"/>
              </w:rPr>
              <w:t>激光熔覆再制造关键技术研发及产业化应用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01" w:type="pct"/>
            <w:vMerge w:val="restart"/>
            <w:shd w:val="clear" w:color="auto" w:fill="auto"/>
            <w:noWrap/>
            <w:tcMar>
              <w:top w:w="15" w:type="dxa"/>
              <w:left w:w="15" w:type="dxa"/>
              <w:right w:w="15" w:type="dxa"/>
            </w:tcMar>
            <w:vAlign w:val="center"/>
          </w:tcPr>
          <w:p>
            <w:pPr>
              <w:widowControl/>
              <w:jc w:val="center"/>
              <w:textAlignment w:val="center"/>
              <w:rPr>
                <w:rFonts w:eastAsia="楷体_GB2312"/>
                <w:color w:val="000000"/>
                <w:sz w:val="32"/>
                <w:szCs w:val="32"/>
              </w:rPr>
            </w:pPr>
            <w:r>
              <w:rPr>
                <w:rFonts w:eastAsia="楷体_GB2312"/>
                <w:color w:val="000000"/>
                <w:kern w:val="0"/>
                <w:sz w:val="32"/>
                <w:szCs w:val="32"/>
                <w:lang w:bidi="ar"/>
              </w:rPr>
              <w:t>三、新材料</w:t>
            </w:r>
          </w:p>
        </w:tc>
        <w:tc>
          <w:tcPr>
            <w:tcW w:w="371" w:type="pct"/>
            <w:shd w:val="clear" w:color="auto" w:fill="auto"/>
            <w:noWrap/>
            <w:tcMar>
              <w:top w:w="15" w:type="dxa"/>
              <w:left w:w="15" w:type="dxa"/>
              <w:right w:w="15" w:type="dxa"/>
            </w:tcMar>
            <w:vAlign w:val="center"/>
          </w:tcPr>
          <w:p>
            <w:pPr>
              <w:widowControl/>
              <w:jc w:val="center"/>
              <w:textAlignment w:val="center"/>
              <w:rPr>
                <w:rFonts w:eastAsia="仿宋_GB2312"/>
                <w:color w:val="000000"/>
                <w:sz w:val="32"/>
                <w:szCs w:val="32"/>
              </w:rPr>
            </w:pPr>
            <w:r>
              <w:rPr>
                <w:rFonts w:eastAsia="仿宋_GB2312"/>
                <w:color w:val="000000"/>
                <w:sz w:val="32"/>
                <w:szCs w:val="32"/>
              </w:rPr>
              <w:t>10</w:t>
            </w:r>
          </w:p>
        </w:tc>
        <w:tc>
          <w:tcPr>
            <w:tcW w:w="3329" w:type="pct"/>
            <w:shd w:val="clear" w:color="auto" w:fill="auto"/>
            <w:noWrap/>
            <w:tcMar>
              <w:top w:w="15" w:type="dxa"/>
              <w:left w:w="15" w:type="dxa"/>
              <w:right w:w="15" w:type="dxa"/>
            </w:tcMar>
            <w:vAlign w:val="center"/>
          </w:tcPr>
          <w:p>
            <w:pPr>
              <w:widowControl/>
              <w:jc w:val="left"/>
              <w:textAlignment w:val="center"/>
              <w:rPr>
                <w:rFonts w:eastAsia="仿宋_GB2312"/>
                <w:color w:val="000000"/>
                <w:sz w:val="32"/>
                <w:szCs w:val="32"/>
              </w:rPr>
            </w:pPr>
            <w:r>
              <w:rPr>
                <w:rFonts w:eastAsia="仿宋_GB2312"/>
                <w:color w:val="000000"/>
                <w:sz w:val="32"/>
                <w:szCs w:val="32"/>
              </w:rPr>
              <w:t>5G基站电源用触点研发及应用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jc w:val="center"/>
        </w:trPr>
        <w:tc>
          <w:tcPr>
            <w:tcW w:w="1301" w:type="pct"/>
            <w:vMerge w:val="continue"/>
            <w:shd w:val="clear" w:color="auto" w:fill="auto"/>
            <w:noWrap/>
            <w:tcMar>
              <w:top w:w="15" w:type="dxa"/>
              <w:left w:w="15" w:type="dxa"/>
              <w:right w:w="15" w:type="dxa"/>
            </w:tcMar>
            <w:vAlign w:val="center"/>
          </w:tcPr>
          <w:p>
            <w:pPr>
              <w:widowControl/>
              <w:jc w:val="center"/>
              <w:textAlignment w:val="center"/>
              <w:rPr>
                <w:rFonts w:eastAsia="楷体_GB2312"/>
                <w:color w:val="000000"/>
                <w:kern w:val="0"/>
                <w:sz w:val="32"/>
                <w:szCs w:val="32"/>
                <w:lang w:bidi="ar"/>
              </w:rPr>
            </w:pPr>
          </w:p>
        </w:tc>
        <w:tc>
          <w:tcPr>
            <w:tcW w:w="371" w:type="pct"/>
            <w:shd w:val="clear" w:color="auto" w:fill="auto"/>
            <w:noWrap/>
            <w:tcMar>
              <w:top w:w="15" w:type="dxa"/>
              <w:left w:w="15" w:type="dxa"/>
              <w:right w:w="15" w:type="dxa"/>
            </w:tcMar>
            <w:vAlign w:val="center"/>
          </w:tcPr>
          <w:p>
            <w:pPr>
              <w:widowControl/>
              <w:jc w:val="center"/>
              <w:textAlignment w:val="center"/>
              <w:rPr>
                <w:rFonts w:eastAsia="仿宋_GB2312"/>
                <w:color w:val="000000"/>
                <w:sz w:val="32"/>
                <w:szCs w:val="32"/>
              </w:rPr>
            </w:pPr>
            <w:r>
              <w:rPr>
                <w:rFonts w:eastAsia="仿宋_GB2312"/>
                <w:color w:val="000000"/>
                <w:sz w:val="32"/>
                <w:szCs w:val="32"/>
              </w:rPr>
              <w:t>11</w:t>
            </w:r>
          </w:p>
        </w:tc>
        <w:tc>
          <w:tcPr>
            <w:tcW w:w="3329" w:type="pct"/>
            <w:shd w:val="clear" w:color="auto" w:fill="auto"/>
            <w:noWrap/>
            <w:tcMar>
              <w:top w:w="15" w:type="dxa"/>
              <w:left w:w="15" w:type="dxa"/>
              <w:right w:w="15" w:type="dxa"/>
            </w:tcMar>
            <w:vAlign w:val="center"/>
          </w:tcPr>
          <w:p>
            <w:pPr>
              <w:widowControl/>
              <w:jc w:val="left"/>
              <w:textAlignment w:val="center"/>
              <w:rPr>
                <w:rFonts w:eastAsia="仿宋_GB2312"/>
                <w:color w:val="000000"/>
                <w:sz w:val="32"/>
                <w:szCs w:val="32"/>
              </w:rPr>
            </w:pPr>
            <w:r>
              <w:rPr>
                <w:rFonts w:eastAsia="仿宋_GB2312"/>
                <w:color w:val="000000"/>
                <w:sz w:val="32"/>
                <w:szCs w:val="32"/>
              </w:rPr>
              <w:t>新型高分子改性材料研发及应用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jc w:val="center"/>
        </w:trPr>
        <w:tc>
          <w:tcPr>
            <w:tcW w:w="1301" w:type="pct"/>
            <w:vMerge w:val="continue"/>
            <w:shd w:val="clear" w:color="auto" w:fill="auto"/>
            <w:noWrap/>
            <w:tcMar>
              <w:top w:w="15" w:type="dxa"/>
              <w:left w:w="15" w:type="dxa"/>
              <w:right w:w="15" w:type="dxa"/>
            </w:tcMar>
            <w:vAlign w:val="center"/>
          </w:tcPr>
          <w:p>
            <w:pPr>
              <w:widowControl/>
              <w:jc w:val="center"/>
              <w:textAlignment w:val="center"/>
              <w:rPr>
                <w:rFonts w:eastAsia="楷体_GB2312"/>
                <w:color w:val="000000"/>
                <w:kern w:val="0"/>
                <w:sz w:val="32"/>
                <w:szCs w:val="32"/>
                <w:lang w:bidi="ar"/>
              </w:rPr>
            </w:pPr>
          </w:p>
        </w:tc>
        <w:tc>
          <w:tcPr>
            <w:tcW w:w="371" w:type="pct"/>
            <w:shd w:val="clear" w:color="auto" w:fill="auto"/>
            <w:noWrap/>
            <w:tcMar>
              <w:top w:w="15" w:type="dxa"/>
              <w:left w:w="15" w:type="dxa"/>
              <w:right w:w="15" w:type="dxa"/>
            </w:tcMar>
            <w:vAlign w:val="center"/>
          </w:tcPr>
          <w:p>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12</w:t>
            </w:r>
          </w:p>
        </w:tc>
        <w:tc>
          <w:tcPr>
            <w:tcW w:w="3329" w:type="pct"/>
            <w:shd w:val="clear" w:color="auto" w:fill="auto"/>
            <w:noWrap/>
            <w:tcMar>
              <w:top w:w="15" w:type="dxa"/>
              <w:left w:w="15" w:type="dxa"/>
              <w:right w:w="15" w:type="dxa"/>
            </w:tcMar>
            <w:vAlign w:val="center"/>
          </w:tcPr>
          <w:p>
            <w:pPr>
              <w:widowControl/>
              <w:jc w:val="left"/>
              <w:textAlignment w:val="center"/>
              <w:rPr>
                <w:rFonts w:eastAsia="仿宋_GB2312"/>
                <w:color w:val="000000"/>
                <w:kern w:val="0"/>
                <w:sz w:val="32"/>
                <w:szCs w:val="32"/>
                <w:lang w:bidi="ar"/>
              </w:rPr>
            </w:pPr>
            <w:r>
              <w:rPr>
                <w:rFonts w:eastAsia="仿宋_GB2312"/>
                <w:color w:val="000000"/>
                <w:kern w:val="0"/>
                <w:sz w:val="32"/>
                <w:szCs w:val="32"/>
                <w:lang w:bidi="ar"/>
              </w:rPr>
              <w:t>新型光电材料及器件研发及产业化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3" w:hRule="atLeast"/>
          <w:jc w:val="center"/>
        </w:trPr>
        <w:tc>
          <w:tcPr>
            <w:tcW w:w="1301" w:type="pct"/>
            <w:vMerge w:val="continue"/>
            <w:shd w:val="clear" w:color="auto" w:fill="auto"/>
            <w:noWrap/>
            <w:tcMar>
              <w:top w:w="15" w:type="dxa"/>
              <w:left w:w="15" w:type="dxa"/>
              <w:right w:w="15" w:type="dxa"/>
            </w:tcMar>
            <w:vAlign w:val="center"/>
          </w:tcPr>
          <w:p>
            <w:pPr>
              <w:widowControl/>
              <w:jc w:val="center"/>
              <w:textAlignment w:val="center"/>
              <w:rPr>
                <w:rFonts w:eastAsia="楷体_GB2312"/>
                <w:color w:val="000000"/>
                <w:kern w:val="0"/>
                <w:sz w:val="32"/>
                <w:szCs w:val="32"/>
                <w:lang w:bidi="ar"/>
              </w:rPr>
            </w:pPr>
          </w:p>
        </w:tc>
        <w:tc>
          <w:tcPr>
            <w:tcW w:w="371" w:type="pct"/>
            <w:shd w:val="clear" w:color="auto" w:fill="auto"/>
            <w:noWrap/>
            <w:tcMar>
              <w:top w:w="15" w:type="dxa"/>
              <w:left w:w="15" w:type="dxa"/>
              <w:right w:w="15" w:type="dxa"/>
            </w:tcMar>
            <w:vAlign w:val="center"/>
          </w:tcPr>
          <w:p>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13</w:t>
            </w:r>
          </w:p>
        </w:tc>
        <w:tc>
          <w:tcPr>
            <w:tcW w:w="3329" w:type="pct"/>
            <w:shd w:val="clear" w:color="auto" w:fill="auto"/>
            <w:noWrap/>
            <w:tcMar>
              <w:top w:w="15" w:type="dxa"/>
              <w:left w:w="15" w:type="dxa"/>
              <w:right w:w="15" w:type="dxa"/>
            </w:tcMar>
            <w:vAlign w:val="center"/>
          </w:tcPr>
          <w:p>
            <w:pPr>
              <w:widowControl/>
              <w:jc w:val="left"/>
              <w:textAlignment w:val="center"/>
              <w:rPr>
                <w:rFonts w:eastAsia="仿宋_GB2312"/>
                <w:color w:val="000000"/>
                <w:kern w:val="0"/>
                <w:sz w:val="32"/>
                <w:szCs w:val="32"/>
                <w:lang w:bidi="ar"/>
              </w:rPr>
            </w:pPr>
            <w:r>
              <w:rPr>
                <w:rFonts w:eastAsia="仿宋_GB2312"/>
                <w:color w:val="000000"/>
                <w:kern w:val="0"/>
                <w:sz w:val="32"/>
                <w:szCs w:val="32"/>
                <w:lang w:bidi="ar"/>
              </w:rPr>
              <w:t>超低温关键阀门用材料研制与密封技术研究及应用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01" w:type="pct"/>
            <w:vMerge w:val="restart"/>
            <w:shd w:val="clear" w:color="auto" w:fill="auto"/>
            <w:noWrap/>
            <w:tcMar>
              <w:top w:w="15" w:type="dxa"/>
              <w:left w:w="15" w:type="dxa"/>
              <w:right w:w="15" w:type="dxa"/>
            </w:tcMar>
            <w:vAlign w:val="center"/>
          </w:tcPr>
          <w:p>
            <w:pPr>
              <w:widowControl/>
              <w:jc w:val="center"/>
              <w:textAlignment w:val="center"/>
              <w:rPr>
                <w:rFonts w:eastAsia="楷体_GB2312"/>
                <w:color w:val="000000"/>
                <w:kern w:val="0"/>
                <w:sz w:val="32"/>
                <w:szCs w:val="32"/>
                <w:lang w:bidi="ar"/>
              </w:rPr>
            </w:pPr>
            <w:r>
              <w:rPr>
                <w:rFonts w:eastAsia="楷体_GB2312"/>
                <w:color w:val="000000"/>
                <w:kern w:val="0"/>
                <w:sz w:val="32"/>
                <w:szCs w:val="32"/>
                <w:lang w:bidi="ar"/>
              </w:rPr>
              <w:t>四、生命健康</w:t>
            </w:r>
          </w:p>
        </w:tc>
        <w:tc>
          <w:tcPr>
            <w:tcW w:w="371" w:type="pct"/>
            <w:shd w:val="clear" w:color="auto" w:fill="auto"/>
            <w:noWrap/>
            <w:tcMar>
              <w:top w:w="15" w:type="dxa"/>
              <w:left w:w="15" w:type="dxa"/>
              <w:right w:w="15" w:type="dxa"/>
            </w:tcMar>
            <w:vAlign w:val="center"/>
          </w:tcPr>
          <w:p>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14</w:t>
            </w:r>
          </w:p>
        </w:tc>
        <w:tc>
          <w:tcPr>
            <w:tcW w:w="3329" w:type="pct"/>
            <w:shd w:val="clear" w:color="auto" w:fill="auto"/>
            <w:noWrap/>
            <w:tcMar>
              <w:top w:w="15" w:type="dxa"/>
              <w:left w:w="15" w:type="dxa"/>
              <w:right w:w="15" w:type="dxa"/>
            </w:tcMar>
            <w:vAlign w:val="center"/>
          </w:tcPr>
          <w:p>
            <w:pPr>
              <w:widowControl/>
              <w:jc w:val="left"/>
              <w:textAlignment w:val="center"/>
              <w:rPr>
                <w:rFonts w:eastAsia="仿宋_GB2312"/>
                <w:color w:val="000000"/>
                <w:kern w:val="0"/>
                <w:sz w:val="32"/>
                <w:szCs w:val="32"/>
                <w:lang w:bidi="ar"/>
              </w:rPr>
            </w:pPr>
            <w:r>
              <w:rPr>
                <w:rFonts w:eastAsia="仿宋_GB2312"/>
                <w:color w:val="000000"/>
                <w:sz w:val="32"/>
                <w:szCs w:val="32"/>
              </w:rPr>
              <w:t>基于器官芯片的重特大突发疾病药物评估模型的开发与应用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1301" w:type="pct"/>
            <w:vMerge w:val="continue"/>
            <w:shd w:val="clear" w:color="auto" w:fill="auto"/>
            <w:noWrap/>
            <w:tcMar>
              <w:top w:w="15" w:type="dxa"/>
              <w:left w:w="15" w:type="dxa"/>
              <w:right w:w="15" w:type="dxa"/>
            </w:tcMar>
            <w:vAlign w:val="center"/>
          </w:tcPr>
          <w:p>
            <w:pPr>
              <w:widowControl/>
              <w:jc w:val="left"/>
              <w:textAlignment w:val="center"/>
              <w:rPr>
                <w:rFonts w:eastAsia="仿宋_GB2312"/>
                <w:b/>
                <w:color w:val="000000"/>
                <w:kern w:val="0"/>
                <w:sz w:val="32"/>
                <w:szCs w:val="32"/>
                <w:lang w:bidi="ar"/>
              </w:rPr>
            </w:pPr>
          </w:p>
        </w:tc>
        <w:tc>
          <w:tcPr>
            <w:tcW w:w="371" w:type="pct"/>
            <w:shd w:val="clear" w:color="auto" w:fill="auto"/>
            <w:noWrap/>
            <w:tcMar>
              <w:top w:w="15" w:type="dxa"/>
              <w:left w:w="15" w:type="dxa"/>
              <w:right w:w="15" w:type="dxa"/>
            </w:tcMar>
            <w:vAlign w:val="center"/>
          </w:tcPr>
          <w:p>
            <w:pPr>
              <w:widowControl/>
              <w:jc w:val="center"/>
              <w:textAlignment w:val="center"/>
              <w:rPr>
                <w:rFonts w:eastAsia="仿宋_GB2312"/>
                <w:color w:val="000000"/>
                <w:kern w:val="0"/>
                <w:sz w:val="32"/>
                <w:szCs w:val="32"/>
                <w:lang w:bidi="ar"/>
              </w:rPr>
            </w:pPr>
            <w:r>
              <w:rPr>
                <w:rFonts w:eastAsia="仿宋_GB2312"/>
                <w:color w:val="000000"/>
                <w:kern w:val="0"/>
                <w:sz w:val="32"/>
                <w:szCs w:val="32"/>
                <w:lang w:bidi="ar"/>
              </w:rPr>
              <w:t>15</w:t>
            </w:r>
          </w:p>
        </w:tc>
        <w:tc>
          <w:tcPr>
            <w:tcW w:w="3329" w:type="pct"/>
            <w:shd w:val="clear" w:color="auto" w:fill="auto"/>
            <w:noWrap/>
            <w:tcMar>
              <w:top w:w="15" w:type="dxa"/>
              <w:left w:w="15" w:type="dxa"/>
              <w:right w:w="15" w:type="dxa"/>
            </w:tcMar>
            <w:vAlign w:val="center"/>
          </w:tcPr>
          <w:p>
            <w:pPr>
              <w:widowControl/>
              <w:jc w:val="left"/>
              <w:textAlignment w:val="center"/>
              <w:rPr>
                <w:rFonts w:eastAsia="仿宋_GB2312"/>
                <w:color w:val="000000"/>
                <w:kern w:val="0"/>
                <w:sz w:val="32"/>
                <w:szCs w:val="32"/>
                <w:lang w:bidi="ar"/>
              </w:rPr>
            </w:pPr>
            <w:r>
              <w:rPr>
                <w:rFonts w:eastAsia="仿宋_GB2312"/>
                <w:color w:val="000000"/>
                <w:sz w:val="32"/>
                <w:szCs w:val="32"/>
              </w:rPr>
              <w:t>超便捷可多方式投送智能化移动医院平台</w:t>
            </w:r>
          </w:p>
        </w:tc>
      </w:tr>
    </w:tbl>
    <w:p>
      <w:pPr>
        <w:spacing w:line="560" w:lineRule="exact"/>
        <w:rPr>
          <w:rFonts w:eastAsia="黑体"/>
          <w:sz w:val="32"/>
          <w:szCs w:val="32"/>
        </w:rPr>
      </w:pPr>
    </w:p>
    <w:p>
      <w:pPr>
        <w:spacing w:line="560" w:lineRule="exact"/>
        <w:ind w:firstLine="640" w:firstLineChars="200"/>
        <w:rPr>
          <w:rFonts w:eastAsia="黑体"/>
          <w:sz w:val="32"/>
          <w:szCs w:val="32"/>
        </w:rPr>
      </w:pPr>
      <w:r>
        <w:rPr>
          <w:rFonts w:eastAsia="黑体"/>
          <w:sz w:val="32"/>
          <w:szCs w:val="32"/>
        </w:rPr>
        <w:t>一、专项名称：节能与新能源汽车</w:t>
      </w:r>
    </w:p>
    <w:p>
      <w:pPr>
        <w:spacing w:line="560" w:lineRule="exact"/>
        <w:ind w:firstLine="643" w:firstLineChars="200"/>
        <w:rPr>
          <w:rFonts w:eastAsia="仿宋_GB2312"/>
          <w:b/>
          <w:bCs/>
          <w:sz w:val="32"/>
          <w:szCs w:val="32"/>
        </w:rPr>
      </w:pPr>
      <w:r>
        <w:rPr>
          <w:rFonts w:eastAsia="仿宋_GB2312"/>
          <w:b/>
          <w:bCs/>
          <w:sz w:val="32"/>
          <w:szCs w:val="32"/>
        </w:rPr>
        <w:t>（一）专题名称：车载高精度传感器件与模块研发及应用</w:t>
      </w:r>
    </w:p>
    <w:p>
      <w:pPr>
        <w:spacing w:line="560" w:lineRule="exact"/>
        <w:ind w:firstLine="643" w:firstLineChars="200"/>
        <w:rPr>
          <w:rFonts w:eastAsia="仿宋_GB2312"/>
          <w:color w:val="444444"/>
          <w:sz w:val="32"/>
          <w:szCs w:val="32"/>
        </w:rPr>
      </w:pPr>
      <w:r>
        <w:rPr>
          <w:rFonts w:eastAsia="仿宋_GB2312"/>
          <w:b/>
          <w:bCs/>
          <w:color w:val="000000"/>
          <w:sz w:val="32"/>
          <w:szCs w:val="32"/>
        </w:rPr>
        <w:t>主要研究内容：</w:t>
      </w:r>
      <w:r>
        <w:rPr>
          <w:rFonts w:eastAsia="仿宋_GB2312"/>
          <w:color w:val="000000"/>
          <w:sz w:val="32"/>
          <w:szCs w:val="32"/>
        </w:rPr>
        <w:t>研究复杂交通环境条件下基于雷达和机</w:t>
      </w:r>
      <w:r>
        <w:rPr>
          <w:rFonts w:eastAsia="仿宋_GB2312"/>
          <w:color w:val="444444"/>
          <w:sz w:val="32"/>
          <w:szCs w:val="32"/>
        </w:rPr>
        <w:t>器视觉融合的环境感知与理解、高精度定位与导航、汽车尾气处理系统等智能汽车关键基础技术，主要包括毫米波雷达、激光雷达等关键传感器设计开发技术，车道、行人和交通标识等信息识别与分析处理技术，高精度卫星定位、惯性导航与动态高精度地图综合应用技术，尾气催化还原技术等。</w:t>
      </w:r>
    </w:p>
    <w:p>
      <w:pPr>
        <w:spacing w:line="560" w:lineRule="exact"/>
        <w:ind w:firstLine="643" w:firstLineChars="200"/>
        <w:rPr>
          <w:rFonts w:eastAsia="仿宋_GB2312"/>
          <w:color w:val="444444"/>
          <w:sz w:val="32"/>
          <w:szCs w:val="32"/>
        </w:rPr>
      </w:pPr>
      <w:r>
        <w:rPr>
          <w:rFonts w:eastAsia="仿宋_GB2312"/>
          <w:b/>
          <w:bCs/>
          <w:color w:val="444444"/>
          <w:sz w:val="32"/>
          <w:szCs w:val="32"/>
        </w:rPr>
        <w:t>绩效目标：</w:t>
      </w:r>
      <w:r>
        <w:rPr>
          <w:rFonts w:eastAsia="仿宋_GB2312"/>
          <w:color w:val="444444"/>
          <w:sz w:val="32"/>
          <w:szCs w:val="32"/>
        </w:rPr>
        <w:t>开发出低成本小型化的毫米波雷达、激光雷达、机器视觉、尾气催化还原等高精度环境感知关键传感器产品和多传感信息融合模块，并实现示范应用。</w:t>
      </w:r>
    </w:p>
    <w:p>
      <w:pPr>
        <w:spacing w:line="560" w:lineRule="exact"/>
        <w:ind w:firstLine="643" w:firstLineChars="200"/>
        <w:rPr>
          <w:rFonts w:eastAsia="仿宋_GB2312"/>
          <w:b/>
          <w:bCs/>
          <w:color w:val="000000"/>
          <w:sz w:val="32"/>
          <w:szCs w:val="32"/>
        </w:rPr>
      </w:pPr>
      <w:r>
        <w:rPr>
          <w:rFonts w:eastAsia="仿宋_GB2312"/>
          <w:b/>
          <w:bCs/>
          <w:sz w:val="32"/>
          <w:szCs w:val="32"/>
        </w:rPr>
        <w:t>（二）专题名称：新能源汽车电控智能悬架系统研发及应用</w:t>
      </w:r>
    </w:p>
    <w:p>
      <w:pPr>
        <w:spacing w:line="560" w:lineRule="exact"/>
        <w:ind w:firstLine="643" w:firstLineChars="200"/>
        <w:rPr>
          <w:rFonts w:eastAsia="仿宋_GB2312"/>
          <w:color w:val="000000"/>
          <w:sz w:val="32"/>
          <w:szCs w:val="32"/>
        </w:rPr>
      </w:pPr>
      <w:r>
        <w:rPr>
          <w:rFonts w:eastAsia="仿宋_GB2312"/>
          <w:b/>
          <w:bCs/>
          <w:color w:val="000000"/>
          <w:sz w:val="32"/>
          <w:szCs w:val="32"/>
        </w:rPr>
        <w:t>主要研究内容：</w:t>
      </w:r>
      <w:r>
        <w:rPr>
          <w:rFonts w:eastAsia="仿宋_GB2312"/>
          <w:color w:val="000000"/>
          <w:sz w:val="32"/>
          <w:szCs w:val="32"/>
        </w:rPr>
        <w:t>开展基于新能源汽车智能悬架的先进加工工艺、可靠性安全性等技术研究，建立结构优化分析和性能与可靠性试验方法，实现工程化和产业化。开展新能源汽车电机驱动、电力电子、电动汽车智能化等研究。</w:t>
      </w:r>
    </w:p>
    <w:p>
      <w:pPr>
        <w:spacing w:line="560" w:lineRule="exact"/>
        <w:ind w:firstLine="643" w:firstLineChars="200"/>
        <w:rPr>
          <w:rFonts w:eastAsia="仿宋_GB2312"/>
          <w:color w:val="000000"/>
          <w:sz w:val="32"/>
          <w:szCs w:val="32"/>
        </w:rPr>
      </w:pPr>
      <w:r>
        <w:rPr>
          <w:rFonts w:eastAsia="仿宋_GB2312"/>
          <w:b/>
          <w:bCs/>
          <w:color w:val="000000"/>
          <w:sz w:val="32"/>
          <w:szCs w:val="32"/>
        </w:rPr>
        <w:t>绩效目标：</w:t>
      </w:r>
      <w:r>
        <w:rPr>
          <w:rFonts w:eastAsia="仿宋_GB2312"/>
          <w:color w:val="000000"/>
          <w:sz w:val="32"/>
          <w:szCs w:val="32"/>
        </w:rPr>
        <w:t>开发新能源汽车电控智能悬架系统，阻尼调整完成时间&lt;20ms；抑制制动距离，在原基础上可减少0.5～1米制动距离；减少车身垂向振动，垂向总加权加速度均方根值小于0.315m/s</w:t>
      </w:r>
      <w:r>
        <w:rPr>
          <w:rFonts w:eastAsia="仿宋_GB2312"/>
          <w:color w:val="000000"/>
          <w:sz w:val="32"/>
          <w:szCs w:val="32"/>
          <w:vertAlign w:val="superscript"/>
        </w:rPr>
        <w:t>2</w:t>
      </w:r>
      <w:r>
        <w:rPr>
          <w:rFonts w:eastAsia="仿宋_GB2312"/>
          <w:color w:val="000000"/>
          <w:sz w:val="32"/>
          <w:szCs w:val="32"/>
        </w:rPr>
        <w:t>，加权加速度均方根值&lt;0.315。</w:t>
      </w:r>
    </w:p>
    <w:p>
      <w:pPr>
        <w:spacing w:line="560" w:lineRule="exact"/>
        <w:ind w:firstLine="643" w:firstLineChars="200"/>
        <w:rPr>
          <w:rFonts w:eastAsia="仿宋_GB2312"/>
          <w:b/>
          <w:bCs/>
          <w:sz w:val="32"/>
          <w:szCs w:val="32"/>
        </w:rPr>
      </w:pPr>
      <w:r>
        <w:rPr>
          <w:rFonts w:eastAsia="仿宋_GB2312"/>
          <w:b/>
          <w:bCs/>
          <w:sz w:val="32"/>
          <w:szCs w:val="32"/>
        </w:rPr>
        <w:t>（三）专题名称：BMS电池组智能管理系统研发及应用</w:t>
      </w:r>
    </w:p>
    <w:p>
      <w:pPr>
        <w:spacing w:line="560" w:lineRule="exact"/>
        <w:ind w:firstLine="643" w:firstLineChars="200"/>
        <w:rPr>
          <w:rFonts w:eastAsia="仿宋_GB2312"/>
          <w:color w:val="000000"/>
          <w:sz w:val="32"/>
          <w:szCs w:val="32"/>
        </w:rPr>
      </w:pPr>
      <w:r>
        <w:rPr>
          <w:rFonts w:eastAsia="仿宋_GB2312"/>
          <w:b/>
          <w:bCs/>
          <w:color w:val="000000"/>
          <w:sz w:val="32"/>
          <w:szCs w:val="32"/>
        </w:rPr>
        <w:t>主要研究内容：</w:t>
      </w:r>
      <w:r>
        <w:rPr>
          <w:rFonts w:eastAsia="仿宋_GB2312"/>
          <w:color w:val="000000"/>
          <w:sz w:val="32"/>
          <w:szCs w:val="32"/>
        </w:rPr>
        <w:t>研究BMS电池组智能管理系统；研究负荷监测算法及负荷识别和管理技术；研究高级应用APP系统架构、消息驱动模型、接口定义、接入规范等内容，实现高级应用APP规范化设计开发；搭建数据服务平台，涵盖多种能源设备终端的通信、采集和应用管理；对物联终端数据、设备状态数据、计量标记数据等进行综合处理与分析。</w:t>
      </w:r>
    </w:p>
    <w:p>
      <w:pPr>
        <w:spacing w:line="560" w:lineRule="exact"/>
        <w:ind w:firstLine="643" w:firstLineChars="200"/>
        <w:rPr>
          <w:rFonts w:eastAsia="仿宋_GB2312"/>
          <w:color w:val="000000"/>
          <w:sz w:val="32"/>
          <w:szCs w:val="32"/>
        </w:rPr>
      </w:pPr>
      <w:r>
        <w:rPr>
          <w:rFonts w:eastAsia="仿宋_GB2312"/>
          <w:b/>
          <w:bCs/>
          <w:color w:val="000000"/>
          <w:sz w:val="32"/>
          <w:szCs w:val="32"/>
        </w:rPr>
        <w:t>绩效目标：</w:t>
      </w:r>
      <w:r>
        <w:rPr>
          <w:rFonts w:eastAsia="仿宋_GB2312"/>
          <w:color w:val="000000"/>
          <w:sz w:val="32"/>
          <w:szCs w:val="32"/>
        </w:rPr>
        <w:t>开发出电池管理平台与相关扩展APP、系统主站，构成支撑未来新能源汽车用电场景的核心，引领智能电池管理领域发展方向。</w:t>
      </w:r>
    </w:p>
    <w:p>
      <w:pPr>
        <w:spacing w:line="560" w:lineRule="exact"/>
        <w:ind w:firstLine="643" w:firstLineChars="200"/>
        <w:rPr>
          <w:rFonts w:eastAsia="仿宋_GB2312"/>
          <w:b/>
          <w:bCs/>
          <w:color w:val="000000"/>
          <w:sz w:val="32"/>
          <w:szCs w:val="32"/>
        </w:rPr>
      </w:pPr>
      <w:r>
        <w:rPr>
          <w:rFonts w:eastAsia="仿宋_GB2312"/>
          <w:b/>
          <w:bCs/>
          <w:color w:val="000000"/>
          <w:sz w:val="32"/>
          <w:szCs w:val="32"/>
        </w:rPr>
        <w:t>（四）专题名称：湿式双离合变速器电子控制模块研发及应用</w:t>
      </w:r>
    </w:p>
    <w:p>
      <w:pPr>
        <w:spacing w:line="560" w:lineRule="exact"/>
        <w:ind w:firstLine="643" w:firstLineChars="200"/>
        <w:rPr>
          <w:rFonts w:eastAsia="仿宋_GB2312"/>
          <w:kern w:val="0"/>
          <w:sz w:val="32"/>
          <w:szCs w:val="32"/>
        </w:rPr>
      </w:pPr>
      <w:r>
        <w:rPr>
          <w:rFonts w:eastAsia="仿宋_GB2312"/>
          <w:b/>
          <w:kern w:val="0"/>
          <w:sz w:val="32"/>
          <w:szCs w:val="32"/>
        </w:rPr>
        <w:t>主要研究内容：</w:t>
      </w:r>
      <w:r>
        <w:rPr>
          <w:rFonts w:eastAsia="仿宋_GB2312"/>
          <w:bCs/>
          <w:kern w:val="0"/>
          <w:sz w:val="32"/>
          <w:szCs w:val="32"/>
        </w:rPr>
        <w:t>针对高端汽车湿式双离合变速器电子控制模块复杂工况下的可靠性要求。开发电子控制模块引线框架复合注塑工艺关键技术，突破防熔锡、尺寸精密控制、产品批量自动化生产技术。研究引线框架可靠性与评估技术，实现应用示范。</w:t>
      </w:r>
    </w:p>
    <w:p>
      <w:pPr>
        <w:spacing w:line="560" w:lineRule="exact"/>
        <w:ind w:firstLine="643" w:firstLineChars="200"/>
        <w:rPr>
          <w:rFonts w:eastAsia="仿宋_GB2312"/>
          <w:bCs/>
          <w:kern w:val="0"/>
          <w:sz w:val="32"/>
          <w:szCs w:val="32"/>
        </w:rPr>
      </w:pPr>
      <w:r>
        <w:rPr>
          <w:rFonts w:eastAsia="仿宋_GB2312"/>
          <w:b/>
          <w:kern w:val="0"/>
          <w:sz w:val="32"/>
          <w:szCs w:val="32"/>
        </w:rPr>
        <w:t>绩效目标：</w:t>
      </w:r>
      <w:r>
        <w:rPr>
          <w:rFonts w:eastAsia="仿宋_GB2312"/>
          <w:bCs/>
          <w:kern w:val="0"/>
          <w:sz w:val="32"/>
          <w:szCs w:val="32"/>
        </w:rPr>
        <w:t>提高电子控制模块关键部件在复杂工况下的可靠性和寿命，突破国外技术垄断，使产品性能达到国内领先水平。可靠性：在振动、腐蚀、温度冲击等复杂工况下产品寿命要求10年以上；绝缘电阻：大于500MΩ；耐电压：在施加1000V AC下，漏电流小于1mA；高尺寸精度：导体外部连接点位置度：≦0.2mm。</w:t>
      </w:r>
    </w:p>
    <w:p>
      <w:pPr>
        <w:spacing w:line="560" w:lineRule="exact"/>
        <w:ind w:firstLine="643" w:firstLineChars="200"/>
        <w:rPr>
          <w:rFonts w:eastAsia="仿宋_GB2312"/>
          <w:b/>
          <w:bCs/>
          <w:color w:val="000000"/>
          <w:sz w:val="32"/>
          <w:szCs w:val="32"/>
        </w:rPr>
      </w:pPr>
      <w:r>
        <w:rPr>
          <w:rFonts w:eastAsia="仿宋_GB2312"/>
          <w:b/>
          <w:bCs/>
          <w:sz w:val="32"/>
          <w:szCs w:val="32"/>
        </w:rPr>
        <w:t>（五）专题名称：轨道车辆架控制动系统研发及应用</w:t>
      </w:r>
    </w:p>
    <w:p>
      <w:pPr>
        <w:spacing w:line="560" w:lineRule="exact"/>
        <w:ind w:firstLine="643" w:firstLineChars="200"/>
        <w:rPr>
          <w:rFonts w:eastAsia="仿宋_GB2312"/>
          <w:color w:val="000000"/>
          <w:sz w:val="32"/>
          <w:szCs w:val="32"/>
        </w:rPr>
      </w:pPr>
      <w:r>
        <w:rPr>
          <w:rFonts w:eastAsia="仿宋_GB2312"/>
          <w:b/>
          <w:bCs/>
          <w:color w:val="000000"/>
          <w:sz w:val="32"/>
          <w:szCs w:val="32"/>
        </w:rPr>
        <w:t>主要研究内容：</w:t>
      </w:r>
      <w:r>
        <w:rPr>
          <w:rFonts w:eastAsia="仿宋_GB2312"/>
          <w:color w:val="000000"/>
          <w:sz w:val="32"/>
          <w:szCs w:val="32"/>
        </w:rPr>
        <w:t>面向地铁、轻轨和高铁等轨道交通车辆牵引系统的特点，开展轨道交通基础设施安全可靠性等技术的研究，研制城市轨道交通车辆专用智能化、模块化的架控制动系统，在使用温度范围、检修周期、单轴充风时间、单轴排风时间、防滑功能达到国外先进产品性能。</w:t>
      </w:r>
    </w:p>
    <w:p>
      <w:pPr>
        <w:spacing w:line="560" w:lineRule="exact"/>
        <w:ind w:firstLine="643" w:firstLineChars="200"/>
        <w:rPr>
          <w:rFonts w:eastAsia="仿宋_GB2312"/>
          <w:color w:val="000000"/>
          <w:sz w:val="32"/>
          <w:szCs w:val="32"/>
        </w:rPr>
      </w:pPr>
      <w:r>
        <w:rPr>
          <w:rFonts w:eastAsia="仿宋_GB2312"/>
          <w:b/>
          <w:bCs/>
          <w:color w:val="000000"/>
          <w:sz w:val="32"/>
          <w:szCs w:val="32"/>
        </w:rPr>
        <w:t>绩效目标：</w:t>
      </w:r>
      <w:r>
        <w:rPr>
          <w:rFonts w:eastAsia="仿宋_GB2312"/>
          <w:color w:val="000000"/>
          <w:sz w:val="32"/>
          <w:szCs w:val="32"/>
        </w:rPr>
        <w:t>突破关键技术，实现进口替代。单轴充风时间（充风至405kPa）：5s～7.2s；单轴排风时间（排风至45kPa）：7s～10s；防滑功能达到国外产品性能，适应温度范围：-40℃～+80℃；检修周期：8年。</w:t>
      </w:r>
    </w:p>
    <w:p>
      <w:pPr>
        <w:spacing w:line="560" w:lineRule="exact"/>
        <w:ind w:firstLine="640" w:firstLineChars="200"/>
        <w:rPr>
          <w:rFonts w:eastAsia="黑体"/>
          <w:sz w:val="32"/>
          <w:szCs w:val="32"/>
        </w:rPr>
      </w:pPr>
      <w:r>
        <w:rPr>
          <w:rFonts w:eastAsia="黑体"/>
          <w:sz w:val="32"/>
          <w:szCs w:val="32"/>
        </w:rPr>
        <w:t>二、专项名称：激光与光电</w:t>
      </w:r>
    </w:p>
    <w:p>
      <w:pPr>
        <w:spacing w:line="560" w:lineRule="exact"/>
        <w:ind w:firstLine="643" w:firstLineChars="200"/>
        <w:rPr>
          <w:rFonts w:eastAsia="仿宋_GB2312"/>
          <w:b/>
          <w:bCs/>
          <w:sz w:val="32"/>
          <w:szCs w:val="32"/>
        </w:rPr>
      </w:pPr>
      <w:r>
        <w:rPr>
          <w:rFonts w:eastAsia="仿宋_GB2312"/>
          <w:b/>
          <w:bCs/>
          <w:sz w:val="32"/>
          <w:szCs w:val="32"/>
        </w:rPr>
        <w:t>（一）专题名称：三维五轴激光切割焊接一体化成套设备研发及应用</w:t>
      </w:r>
    </w:p>
    <w:p>
      <w:pPr>
        <w:overflowPunct w:val="0"/>
        <w:spacing w:line="560" w:lineRule="exact"/>
        <w:ind w:firstLine="643" w:firstLineChars="200"/>
        <w:rPr>
          <w:rFonts w:eastAsia="仿宋_GB2312"/>
          <w:bCs/>
          <w:kern w:val="0"/>
          <w:sz w:val="32"/>
          <w:szCs w:val="32"/>
        </w:rPr>
      </w:pPr>
      <w:r>
        <w:rPr>
          <w:rFonts w:eastAsia="仿宋_GB2312"/>
          <w:b/>
          <w:kern w:val="0"/>
          <w:sz w:val="32"/>
          <w:szCs w:val="32"/>
        </w:rPr>
        <w:t>主要研究内容：</w:t>
      </w:r>
      <w:r>
        <w:rPr>
          <w:rFonts w:eastAsia="仿宋_GB2312"/>
          <w:bCs/>
          <w:kern w:val="0"/>
          <w:sz w:val="32"/>
          <w:szCs w:val="32"/>
        </w:rPr>
        <w:t>研究五轴（含）及以上联动的三维激光切割、焊接设备高度自动化数控一体机的结构设计，应用于激光设备上的五轴或六轴联动的控制系统算法以及对应离线程序算法等；多轴联动控制且能用于激光加工离线软件，兼容总线的开放驱动；兼容激光切割、焊接设备等；具备开放的工艺库函数和激光控制基本功能；整机系统可靠性设计，保证性能与指标的持续稳定可靠，打破国外技术和市场垄断，实现进口替代。</w:t>
      </w:r>
    </w:p>
    <w:p>
      <w:pPr>
        <w:overflowPunct w:val="0"/>
        <w:spacing w:line="560" w:lineRule="exact"/>
        <w:ind w:firstLine="643" w:firstLineChars="200"/>
        <w:rPr>
          <w:rFonts w:eastAsia="仿宋_GB2312"/>
          <w:bCs/>
          <w:kern w:val="0"/>
          <w:sz w:val="32"/>
          <w:szCs w:val="32"/>
        </w:rPr>
      </w:pPr>
      <w:r>
        <w:rPr>
          <w:rFonts w:eastAsia="仿宋_GB2312"/>
          <w:b/>
          <w:kern w:val="0"/>
          <w:sz w:val="32"/>
          <w:szCs w:val="32"/>
        </w:rPr>
        <w:t>绩效目标：</w:t>
      </w:r>
      <w:r>
        <w:rPr>
          <w:rFonts w:eastAsia="仿宋_GB2312"/>
          <w:bCs/>
          <w:kern w:val="0"/>
          <w:sz w:val="32"/>
          <w:szCs w:val="32"/>
        </w:rPr>
        <w:t>实现一机多能多用，兼容钢铁、铝合金、铜合金等各种金属异形工件的三维激光切割、激光焊接，切割/焊接功能快速切换摆动加工头，无需人工调节。激光功率≥3KW，X轴行程≥3000mm，Y轴行程≥1500mm，Z轴行程≥500mm；X、Y、Z最大定位速度≥90m/min；A轴行程360*N 度，B轴行程±135度；X、Y、Z轴定位精度≤0.06mm，X、Y、Z轴重复定位精度≤0.04mm；A、C轴定位精度≤5角秒，A、C轴重复定位精度≤5角秒。</w:t>
      </w:r>
    </w:p>
    <w:p>
      <w:pPr>
        <w:spacing w:line="560" w:lineRule="exact"/>
        <w:ind w:firstLine="643" w:firstLineChars="200"/>
        <w:rPr>
          <w:rFonts w:eastAsia="仿宋_GB2312"/>
          <w:b/>
          <w:bCs/>
          <w:sz w:val="32"/>
          <w:szCs w:val="32"/>
        </w:rPr>
      </w:pPr>
      <w:r>
        <w:rPr>
          <w:rFonts w:eastAsia="仿宋_GB2312"/>
          <w:b/>
          <w:bCs/>
          <w:sz w:val="32"/>
          <w:szCs w:val="32"/>
        </w:rPr>
        <w:t>（二）专题名称：大厚度坡口激光切割装备研发及应用</w:t>
      </w:r>
    </w:p>
    <w:p>
      <w:pPr>
        <w:spacing w:line="560" w:lineRule="exact"/>
        <w:ind w:firstLine="643" w:firstLineChars="200"/>
        <w:rPr>
          <w:rFonts w:eastAsia="仿宋_GB2312"/>
          <w:bCs/>
          <w:kern w:val="0"/>
          <w:sz w:val="32"/>
          <w:szCs w:val="32"/>
        </w:rPr>
      </w:pPr>
      <w:r>
        <w:rPr>
          <w:rFonts w:eastAsia="仿宋_GB2312"/>
          <w:b/>
          <w:kern w:val="0"/>
          <w:sz w:val="32"/>
          <w:szCs w:val="32"/>
        </w:rPr>
        <w:t>主要研究内容：</w:t>
      </w:r>
      <w:r>
        <w:rPr>
          <w:rFonts w:eastAsia="仿宋_GB2312"/>
          <w:bCs/>
          <w:kern w:val="0"/>
          <w:sz w:val="32"/>
          <w:szCs w:val="32"/>
        </w:rPr>
        <w:t>研究机械零件激光开坡口等高度自动化一体机的结构设计，多工序协作系统，提高零件的加工精度与效率；整机系统可靠性设计，保证性能与指标的持续稳定可靠，打破国外技术和市场垄断。</w:t>
      </w:r>
    </w:p>
    <w:p>
      <w:pPr>
        <w:spacing w:line="560" w:lineRule="exact"/>
        <w:ind w:firstLine="643" w:firstLineChars="200"/>
        <w:rPr>
          <w:rFonts w:eastAsia="仿宋_GB2312"/>
          <w:bCs/>
          <w:kern w:val="0"/>
          <w:sz w:val="32"/>
          <w:szCs w:val="32"/>
        </w:rPr>
      </w:pPr>
      <w:r>
        <w:rPr>
          <w:rFonts w:eastAsia="仿宋_GB2312"/>
          <w:b/>
          <w:kern w:val="0"/>
          <w:sz w:val="32"/>
          <w:szCs w:val="32"/>
        </w:rPr>
        <w:t>绩效目标：</w:t>
      </w:r>
      <w:r>
        <w:rPr>
          <w:rFonts w:eastAsia="仿宋_GB2312"/>
          <w:bCs/>
          <w:kern w:val="0"/>
          <w:sz w:val="32"/>
          <w:szCs w:val="32"/>
        </w:rPr>
        <w:t>激光功率不小于30kW，突破常规0°直口断面，实现I形、V形、U形、X形、单边V形和K形等不同类型坡口一次成型，坡口钝边尺寸精度小于0.6mm；X、Y轴几何定位精度≤0.06mm，X、Y轴重复定位精度≤0.03mm；8-16mm碳钢差厚板最大切割速度不小于10m/min。</w:t>
      </w:r>
    </w:p>
    <w:p>
      <w:pPr>
        <w:spacing w:line="560" w:lineRule="exact"/>
        <w:ind w:firstLine="643" w:firstLineChars="200"/>
        <w:rPr>
          <w:rFonts w:eastAsia="仿宋_GB2312"/>
          <w:b/>
          <w:bCs/>
          <w:sz w:val="32"/>
          <w:szCs w:val="32"/>
        </w:rPr>
      </w:pPr>
      <w:r>
        <w:rPr>
          <w:rFonts w:eastAsia="仿宋_GB2312"/>
          <w:b/>
          <w:bCs/>
          <w:sz w:val="32"/>
          <w:szCs w:val="32"/>
        </w:rPr>
        <w:t>（三）专题名称：宏通道双面主动冷却高功率半导体激光器研发及应用</w:t>
      </w:r>
    </w:p>
    <w:p>
      <w:pPr>
        <w:overflowPunct w:val="0"/>
        <w:spacing w:line="560" w:lineRule="exact"/>
        <w:ind w:firstLine="643" w:firstLineChars="200"/>
        <w:rPr>
          <w:rFonts w:eastAsia="仿宋_GB2312"/>
          <w:bCs/>
          <w:kern w:val="0"/>
          <w:sz w:val="32"/>
          <w:szCs w:val="32"/>
        </w:rPr>
      </w:pPr>
      <w:r>
        <w:rPr>
          <w:rFonts w:eastAsia="仿宋_GB2312"/>
          <w:b/>
          <w:kern w:val="0"/>
          <w:sz w:val="32"/>
          <w:szCs w:val="32"/>
        </w:rPr>
        <w:t>主要研究内容：</w:t>
      </w:r>
      <w:r>
        <w:rPr>
          <w:rFonts w:eastAsia="仿宋_GB2312"/>
          <w:bCs/>
          <w:kern w:val="0"/>
          <w:sz w:val="32"/>
          <w:szCs w:val="32"/>
        </w:rPr>
        <w:t>研究新型热沉材料，匹配芯片热胀系数，设计高效宏通道水路结构；开发金锡回流焊工艺，制作单Bar双面主动冷却连续输出功率300瓦以上的半导体激光阵列，实现高功率半导体激光器的自主研发和产业化。</w:t>
      </w:r>
    </w:p>
    <w:p>
      <w:pPr>
        <w:overflowPunct w:val="0"/>
        <w:spacing w:line="560" w:lineRule="exact"/>
        <w:ind w:firstLine="643" w:firstLineChars="200"/>
        <w:rPr>
          <w:rFonts w:eastAsia="仿宋_GB2312"/>
          <w:bCs/>
          <w:kern w:val="0"/>
          <w:sz w:val="32"/>
          <w:szCs w:val="32"/>
        </w:rPr>
      </w:pPr>
      <w:r>
        <w:rPr>
          <w:rFonts w:eastAsia="仿宋_GB2312"/>
          <w:b/>
          <w:kern w:val="0"/>
          <w:sz w:val="32"/>
          <w:szCs w:val="32"/>
        </w:rPr>
        <w:t>绩效目标：</w:t>
      </w:r>
      <w:r>
        <w:rPr>
          <w:rFonts w:eastAsia="仿宋_GB2312"/>
          <w:bCs/>
          <w:kern w:val="0"/>
          <w:sz w:val="32"/>
          <w:szCs w:val="32"/>
        </w:rPr>
        <w:t>单巴（10mm激光线阵）经高效冷却封装后输出测试功率≥300 W (CW)，研制出4000W高功率半导体激光器，电光转换效率＞40%，使用寿命≥10000小时，实现产业化应用。</w:t>
      </w:r>
    </w:p>
    <w:p>
      <w:pPr>
        <w:overflowPunct w:val="0"/>
        <w:spacing w:line="560" w:lineRule="exact"/>
        <w:ind w:firstLine="643" w:firstLineChars="200"/>
        <w:rPr>
          <w:rFonts w:eastAsia="仿宋_GB2312"/>
          <w:bCs/>
          <w:kern w:val="0"/>
          <w:sz w:val="32"/>
          <w:szCs w:val="32"/>
        </w:rPr>
      </w:pPr>
      <w:r>
        <w:rPr>
          <w:rFonts w:eastAsia="仿宋_GB2312"/>
          <w:b/>
          <w:kern w:val="0"/>
          <w:sz w:val="32"/>
          <w:szCs w:val="32"/>
        </w:rPr>
        <w:t>（四）专题名称：激光熔覆再制造关键技术研发及产业化应用</w:t>
      </w:r>
      <w:r>
        <w:rPr>
          <w:rFonts w:eastAsia="仿宋_GB2312"/>
          <w:bCs/>
          <w:kern w:val="0"/>
          <w:sz w:val="32"/>
          <w:szCs w:val="32"/>
        </w:rPr>
        <w:t xml:space="preserve"> </w:t>
      </w:r>
    </w:p>
    <w:p>
      <w:pPr>
        <w:overflowPunct w:val="0"/>
        <w:spacing w:line="560" w:lineRule="exact"/>
        <w:ind w:firstLine="643" w:firstLineChars="200"/>
        <w:rPr>
          <w:rFonts w:eastAsia="仿宋_GB2312"/>
          <w:bCs/>
          <w:kern w:val="0"/>
          <w:sz w:val="32"/>
          <w:szCs w:val="32"/>
        </w:rPr>
      </w:pPr>
      <w:r>
        <w:rPr>
          <w:rFonts w:eastAsia="仿宋_GB2312"/>
          <w:b/>
          <w:kern w:val="0"/>
          <w:sz w:val="32"/>
          <w:szCs w:val="32"/>
        </w:rPr>
        <w:t>研发内容：</w:t>
      </w:r>
      <w:r>
        <w:rPr>
          <w:rFonts w:eastAsia="仿宋_GB2312"/>
          <w:bCs/>
          <w:kern w:val="0"/>
          <w:sz w:val="32"/>
          <w:szCs w:val="32"/>
        </w:rPr>
        <w:t>针对工业流程泵、高参数阀门领域的产业需求，开展材料配方、熔覆（再制造）工艺、设备和材料的优化，形成系列成套工艺装备，使激光熔覆的成本低于传统的电弧堆焊、等离子堆焊、热喷焊工艺，达到产业化推广的目标，实现批量化生产应用。</w:t>
      </w:r>
    </w:p>
    <w:p>
      <w:pPr>
        <w:overflowPunct w:val="0"/>
        <w:spacing w:line="560" w:lineRule="exact"/>
        <w:ind w:firstLine="643" w:firstLineChars="200"/>
        <w:rPr>
          <w:rFonts w:eastAsia="仿宋_GB2312"/>
          <w:bCs/>
          <w:kern w:val="0"/>
          <w:sz w:val="32"/>
          <w:szCs w:val="32"/>
        </w:rPr>
      </w:pPr>
      <w:r>
        <w:rPr>
          <w:rFonts w:eastAsia="仿宋_GB2312"/>
          <w:b/>
          <w:kern w:val="0"/>
          <w:sz w:val="32"/>
          <w:szCs w:val="32"/>
        </w:rPr>
        <w:t>绩效目标：</w:t>
      </w:r>
      <w:r>
        <w:rPr>
          <w:rFonts w:eastAsia="仿宋_GB2312"/>
          <w:bCs/>
          <w:kern w:val="0"/>
          <w:sz w:val="32"/>
          <w:szCs w:val="32"/>
        </w:rPr>
        <w:t>激光功率＞4000W，熔覆材料：钴基合金、镍基合金、铁基合金、梯度材料；熔覆效率＞0.15平方米/小时；单层熔覆厚度＞2mm，孔隙率&lt;0.1%，单层熔覆稀释率&lt;3%，无裂纹；硬度：钴基合金≥HRC48；镍基合金≥HRC58；铁基合金≥HRC62；实现批量化生产应用。</w:t>
      </w:r>
    </w:p>
    <w:p>
      <w:pPr>
        <w:spacing w:line="560" w:lineRule="exact"/>
        <w:ind w:firstLine="640" w:firstLineChars="200"/>
        <w:rPr>
          <w:rFonts w:eastAsia="黑体"/>
          <w:sz w:val="32"/>
          <w:szCs w:val="32"/>
        </w:rPr>
      </w:pPr>
      <w:r>
        <w:rPr>
          <w:rFonts w:eastAsia="黑体"/>
          <w:sz w:val="32"/>
          <w:szCs w:val="32"/>
        </w:rPr>
        <w:t>三、专项名称：新材料</w:t>
      </w:r>
    </w:p>
    <w:p>
      <w:pPr>
        <w:spacing w:line="560" w:lineRule="exact"/>
        <w:ind w:firstLine="643" w:firstLineChars="200"/>
        <w:rPr>
          <w:rFonts w:eastAsia="仿宋_GB2312"/>
          <w:b/>
          <w:bCs/>
          <w:color w:val="000000"/>
          <w:sz w:val="32"/>
          <w:szCs w:val="32"/>
        </w:rPr>
      </w:pPr>
      <w:r>
        <w:rPr>
          <w:rFonts w:eastAsia="仿宋_GB2312"/>
          <w:b/>
          <w:bCs/>
          <w:sz w:val="32"/>
          <w:szCs w:val="32"/>
        </w:rPr>
        <w:t>（一）专题名称：5G基站电源用触点</w:t>
      </w:r>
      <w:r>
        <w:rPr>
          <w:rFonts w:eastAsia="仿宋_GB2312"/>
          <w:b/>
          <w:bCs/>
          <w:color w:val="000000"/>
          <w:sz w:val="32"/>
          <w:szCs w:val="32"/>
        </w:rPr>
        <w:t>研发及应用</w:t>
      </w:r>
    </w:p>
    <w:p>
      <w:pPr>
        <w:spacing w:line="560" w:lineRule="exact"/>
        <w:ind w:firstLine="643" w:firstLineChars="200"/>
        <w:rPr>
          <w:rFonts w:eastAsia="仿宋_GB2312"/>
          <w:color w:val="000000"/>
          <w:sz w:val="32"/>
          <w:szCs w:val="32"/>
        </w:rPr>
      </w:pPr>
      <w:r>
        <w:rPr>
          <w:rFonts w:eastAsia="仿宋_GB2312"/>
          <w:b/>
          <w:bCs/>
          <w:color w:val="000000"/>
          <w:sz w:val="32"/>
          <w:szCs w:val="32"/>
        </w:rPr>
        <w:t>主要研究内容：</w:t>
      </w:r>
      <w:r>
        <w:rPr>
          <w:rFonts w:eastAsia="仿宋_GB2312"/>
          <w:color w:val="000000"/>
          <w:sz w:val="32"/>
          <w:szCs w:val="32"/>
        </w:rPr>
        <w:t>针对多功能5G微基站设计中对电源触点材料的高寿命要求，开发电源用触点用新材料，突破材料组分设计、显微结构控制、性能调控与规模化工艺技术，研究导电材料可靠性与服役特性评估技术，实现应用示范。</w:t>
      </w:r>
    </w:p>
    <w:p>
      <w:pPr>
        <w:spacing w:line="560" w:lineRule="exact"/>
        <w:ind w:firstLine="643" w:firstLineChars="200"/>
        <w:rPr>
          <w:rFonts w:eastAsia="仿宋_GB2312"/>
          <w:color w:val="000000"/>
          <w:sz w:val="32"/>
          <w:szCs w:val="32"/>
        </w:rPr>
      </w:pPr>
      <w:r>
        <w:rPr>
          <w:rFonts w:eastAsia="仿宋_GB2312"/>
          <w:b/>
          <w:bCs/>
          <w:color w:val="000000"/>
          <w:sz w:val="32"/>
          <w:szCs w:val="32"/>
        </w:rPr>
        <w:t>绩效目标：</w:t>
      </w:r>
      <w:r>
        <w:rPr>
          <w:rFonts w:eastAsia="仿宋_GB2312"/>
          <w:color w:val="000000"/>
          <w:sz w:val="32"/>
          <w:szCs w:val="32"/>
        </w:rPr>
        <w:t>提高材料性能及产品可靠性和长寿命，突破国外垄断，产品性能达到国内领先水平。接触电阻在整个服役过程中不能超过9mΩ，10A左右条件下寿命要求保证3万次以上，适应电压范围40V～450V，电流～1500A。</w:t>
      </w:r>
    </w:p>
    <w:p>
      <w:pPr>
        <w:spacing w:line="560" w:lineRule="exact"/>
        <w:ind w:firstLine="643" w:firstLineChars="200"/>
        <w:rPr>
          <w:rFonts w:eastAsia="仿宋_GB2312"/>
          <w:b/>
          <w:bCs/>
          <w:sz w:val="32"/>
          <w:szCs w:val="32"/>
        </w:rPr>
      </w:pPr>
      <w:r>
        <w:rPr>
          <w:rFonts w:eastAsia="仿宋_GB2312"/>
          <w:b/>
          <w:bCs/>
          <w:sz w:val="32"/>
          <w:szCs w:val="32"/>
        </w:rPr>
        <w:t>（二）专题名称：新型高分子改性材料研发及应用</w:t>
      </w:r>
    </w:p>
    <w:p>
      <w:pPr>
        <w:spacing w:line="560" w:lineRule="exact"/>
        <w:ind w:firstLine="643" w:firstLineChars="200"/>
        <w:rPr>
          <w:rFonts w:eastAsia="仿宋_GB2312"/>
          <w:sz w:val="32"/>
          <w:szCs w:val="32"/>
        </w:rPr>
      </w:pPr>
      <w:r>
        <w:rPr>
          <w:rFonts w:eastAsia="仿宋_GB2312"/>
          <w:b/>
          <w:bCs/>
          <w:sz w:val="32"/>
          <w:szCs w:val="32"/>
        </w:rPr>
        <w:t>主要研究内容：</w:t>
      </w:r>
      <w:r>
        <w:rPr>
          <w:rFonts w:eastAsia="仿宋_GB2312"/>
          <w:sz w:val="32"/>
          <w:szCs w:val="32"/>
        </w:rPr>
        <w:t>研究开发具有高弹、强韧、耐高温、耐磨、导电、导热、电磁屏蔽及特殊介电（高介电或低介电）和可降解等特性的高性能和功能性改性高分子材料，开发高分子材料聚合、复合改性、有机/无机复合及其批量化生产等关键技术。</w:t>
      </w:r>
    </w:p>
    <w:p>
      <w:pPr>
        <w:spacing w:line="560" w:lineRule="exact"/>
        <w:ind w:firstLine="643" w:firstLineChars="200"/>
        <w:rPr>
          <w:rFonts w:eastAsia="仿宋_GB2312"/>
          <w:sz w:val="32"/>
          <w:szCs w:val="32"/>
        </w:rPr>
      </w:pPr>
      <w:r>
        <w:rPr>
          <w:rFonts w:eastAsia="仿宋_GB2312"/>
          <w:b/>
          <w:bCs/>
          <w:sz w:val="32"/>
          <w:szCs w:val="32"/>
        </w:rPr>
        <w:t>绩效目标：</w:t>
      </w:r>
      <w:r>
        <w:rPr>
          <w:rFonts w:eastAsia="仿宋_GB2312"/>
          <w:sz w:val="32"/>
          <w:szCs w:val="32"/>
        </w:rPr>
        <w:t>开发出应用于汽车、5G电子、新能源、特高压和重大工程等领域的高强超韧、高弹、高温耐磨、高导热、阻燃、高纯耐腐蚀、低介电常数、低损耗、抗静电、电磁屏蔽、吸波隐身以及可降解等新型高性能、功能性高分子及其改性材料，并实现示范应用。</w:t>
      </w:r>
    </w:p>
    <w:p>
      <w:pPr>
        <w:spacing w:line="560" w:lineRule="exact"/>
        <w:ind w:firstLine="643" w:firstLineChars="200"/>
        <w:rPr>
          <w:rFonts w:eastAsia="仿宋_GB2312"/>
          <w:b/>
          <w:bCs/>
          <w:color w:val="000000"/>
          <w:sz w:val="32"/>
          <w:szCs w:val="32"/>
        </w:rPr>
      </w:pPr>
      <w:r>
        <w:rPr>
          <w:rFonts w:eastAsia="仿宋_GB2312"/>
          <w:b/>
          <w:bCs/>
          <w:sz w:val="32"/>
          <w:szCs w:val="32"/>
        </w:rPr>
        <w:t>（三）专题名称：超低温关键阀门用材料的研制与密封技术研究及应用</w:t>
      </w:r>
    </w:p>
    <w:p>
      <w:pPr>
        <w:spacing w:line="560" w:lineRule="exact"/>
        <w:ind w:firstLine="643" w:firstLineChars="200"/>
        <w:rPr>
          <w:rFonts w:eastAsia="仿宋_GB2312"/>
          <w:color w:val="000000"/>
          <w:sz w:val="32"/>
          <w:szCs w:val="32"/>
        </w:rPr>
      </w:pPr>
      <w:r>
        <w:rPr>
          <w:rFonts w:eastAsia="仿宋_GB2312"/>
          <w:b/>
          <w:bCs/>
          <w:color w:val="000000"/>
          <w:sz w:val="32"/>
          <w:szCs w:val="32"/>
        </w:rPr>
        <w:t>主要研究内容：</w:t>
      </w:r>
      <w:r>
        <w:rPr>
          <w:rFonts w:eastAsia="仿宋_GB2312"/>
          <w:color w:val="000000"/>
          <w:sz w:val="32"/>
          <w:szCs w:val="32"/>
        </w:rPr>
        <w:t>开展超低温环境下阀门的整体构造、密封形式的设计及密封技术研究；研究适用于超低温环境、硬固体颗粒介质的材料及工艺技术；研究超低温条件下材料变化的规律与可靠性，开展低温循环寿命试验，建立寿命预测模型，实现超低温关键阀门长时稳定工作。</w:t>
      </w:r>
    </w:p>
    <w:p>
      <w:pPr>
        <w:spacing w:line="560" w:lineRule="exact"/>
        <w:ind w:firstLine="643" w:firstLineChars="200"/>
        <w:rPr>
          <w:rFonts w:eastAsia="仿宋_GB2312"/>
          <w:color w:val="000000"/>
          <w:sz w:val="32"/>
          <w:szCs w:val="32"/>
        </w:rPr>
      </w:pPr>
      <w:r>
        <w:rPr>
          <w:rFonts w:eastAsia="仿宋_GB2312"/>
          <w:b/>
          <w:bCs/>
          <w:color w:val="000000"/>
          <w:sz w:val="32"/>
          <w:szCs w:val="32"/>
        </w:rPr>
        <w:t>绩效目标：</w:t>
      </w:r>
      <w:r>
        <w:rPr>
          <w:rFonts w:eastAsia="仿宋_GB2312"/>
          <w:color w:val="000000"/>
          <w:sz w:val="32"/>
          <w:szCs w:val="32"/>
        </w:rPr>
        <w:t>研制适用于超低温环境关键阀门用的新材料材料及工艺技术；开发超低温关键阀门产品，实现重大工程进口替代；压力等级：Class150～900；适用温度：-196℃～+100℃，低温性能试验结果应符合GB/T 24925的规定。</w:t>
      </w:r>
    </w:p>
    <w:p>
      <w:pPr>
        <w:overflowPunct w:val="0"/>
        <w:spacing w:line="560" w:lineRule="exact"/>
        <w:ind w:firstLine="643" w:firstLineChars="200"/>
        <w:rPr>
          <w:rFonts w:eastAsia="仿宋_GB2312"/>
          <w:b/>
          <w:kern w:val="0"/>
          <w:sz w:val="32"/>
          <w:szCs w:val="32"/>
        </w:rPr>
      </w:pPr>
      <w:r>
        <w:rPr>
          <w:rFonts w:eastAsia="仿宋_GB2312"/>
          <w:b/>
          <w:kern w:val="0"/>
          <w:sz w:val="32"/>
          <w:szCs w:val="32"/>
        </w:rPr>
        <w:t>（四）专题名称：新型光电材料及器件研发及产业化</w:t>
      </w:r>
    </w:p>
    <w:p>
      <w:pPr>
        <w:overflowPunct w:val="0"/>
        <w:spacing w:line="560" w:lineRule="exact"/>
        <w:ind w:firstLine="643" w:firstLineChars="200"/>
        <w:rPr>
          <w:rFonts w:eastAsia="仿宋_GB2312"/>
          <w:bCs/>
          <w:kern w:val="0"/>
          <w:sz w:val="32"/>
          <w:szCs w:val="32"/>
        </w:rPr>
      </w:pPr>
      <w:r>
        <w:rPr>
          <w:rFonts w:eastAsia="仿宋_GB2312"/>
          <w:b/>
          <w:kern w:val="0"/>
          <w:sz w:val="32"/>
          <w:szCs w:val="32"/>
        </w:rPr>
        <w:t>主要研究内容：</w:t>
      </w:r>
      <w:r>
        <w:rPr>
          <w:rFonts w:eastAsia="仿宋_GB2312"/>
          <w:bCs/>
          <w:kern w:val="0"/>
          <w:sz w:val="32"/>
          <w:szCs w:val="32"/>
        </w:rPr>
        <w:t>研究超低损耗大有效面积光纤、高精度光纤光栅等制备及技术；研究大面积氮化铝覆铜板制备、高精度钎焊涂敷技术、焊接层组织精密控制等IGBT陶瓷基板活性钎焊覆铜板产业化关键技术；研究TADF有机发光材料制备、重结晶技术、升华纯化工艺和发光性能；研究人工晶体材料制备关键技术。</w:t>
      </w:r>
    </w:p>
    <w:p>
      <w:pPr>
        <w:overflowPunct w:val="0"/>
        <w:spacing w:line="560" w:lineRule="exact"/>
        <w:ind w:firstLine="643" w:firstLineChars="200"/>
        <w:rPr>
          <w:rFonts w:eastAsia="仿宋_GB2312"/>
          <w:bCs/>
          <w:kern w:val="0"/>
          <w:sz w:val="32"/>
          <w:szCs w:val="32"/>
        </w:rPr>
      </w:pPr>
      <w:r>
        <w:rPr>
          <w:rFonts w:eastAsia="仿宋_GB2312"/>
          <w:b/>
          <w:kern w:val="0"/>
          <w:sz w:val="32"/>
          <w:szCs w:val="32"/>
        </w:rPr>
        <w:t>绩效目标：</w:t>
      </w:r>
      <w:r>
        <w:rPr>
          <w:rFonts w:eastAsia="仿宋_GB2312"/>
          <w:bCs/>
          <w:kern w:val="0"/>
          <w:sz w:val="32"/>
          <w:szCs w:val="32"/>
        </w:rPr>
        <w:t>开发出高性能光纤光栅，建成G.654.E光纤光缆性能验证工程，100G和400G系统最佳入纤光功率相比于商业化G.652光纤提升2dBm以上；研发出低应力、高可靠性、大面积IGBT陶瓷基板活性钎焊覆铜板，尺寸不小于100mm*100mm，导热率不小于70Wm/k，抗弯强度不小于500MPa；有机发光材料、人工晶体等新型光电材料及器件实现示范验证应用；突破高端光电材料及器件国外垄断，填补国内空白，实现产业化应用，为激光、新一代大功率电力电子器件、移动通信等产业发展提供关键材料及器件。</w:t>
      </w:r>
    </w:p>
    <w:p>
      <w:pPr>
        <w:spacing w:line="560" w:lineRule="exact"/>
        <w:ind w:firstLine="640" w:firstLineChars="200"/>
        <w:rPr>
          <w:rFonts w:eastAsia="黑体"/>
          <w:sz w:val="32"/>
          <w:szCs w:val="32"/>
        </w:rPr>
      </w:pPr>
      <w:r>
        <w:rPr>
          <w:rFonts w:eastAsia="黑体"/>
          <w:sz w:val="32"/>
          <w:szCs w:val="32"/>
        </w:rPr>
        <w:t>四、专项名称：生命健康</w:t>
      </w:r>
    </w:p>
    <w:p>
      <w:pPr>
        <w:spacing w:line="560" w:lineRule="exact"/>
        <w:ind w:firstLine="643" w:firstLineChars="200"/>
        <w:rPr>
          <w:rFonts w:eastAsia="仿宋_GB2312"/>
          <w:b/>
          <w:bCs/>
          <w:color w:val="000000"/>
          <w:sz w:val="32"/>
          <w:szCs w:val="32"/>
        </w:rPr>
      </w:pPr>
      <w:r>
        <w:rPr>
          <w:rFonts w:eastAsia="仿宋_GB2312"/>
          <w:b/>
          <w:bCs/>
          <w:sz w:val="32"/>
          <w:szCs w:val="32"/>
        </w:rPr>
        <w:t>（一）专题名称：基于器官芯片的重特大突发疾病药物评估模型的开发与应用</w:t>
      </w:r>
    </w:p>
    <w:p>
      <w:pPr>
        <w:pStyle w:val="4"/>
        <w:widowControl/>
        <w:shd w:val="clear" w:color="auto" w:fill="FFFFFF"/>
        <w:wordWrap w:val="0"/>
        <w:spacing w:line="560" w:lineRule="exact"/>
        <w:ind w:firstLine="643" w:firstLineChars="200"/>
        <w:rPr>
          <w:rFonts w:hint="default" w:ascii="Times New Roman" w:hAnsi="Times New Roman" w:eastAsia="微软雅黑"/>
          <w:color w:val="333333"/>
          <w:sz w:val="21"/>
          <w:szCs w:val="21"/>
        </w:rPr>
      </w:pPr>
      <w:r>
        <w:rPr>
          <w:rFonts w:hint="default" w:ascii="Times New Roman" w:hAnsi="Times New Roman" w:eastAsia="仿宋_GB2312"/>
          <w:b/>
          <w:bCs/>
          <w:color w:val="000000"/>
          <w:sz w:val="32"/>
          <w:szCs w:val="32"/>
        </w:rPr>
        <w:t>主要研究内容：</w:t>
      </w:r>
      <w:r>
        <w:rPr>
          <w:rFonts w:hint="default" w:ascii="Times New Roman" w:hAnsi="Times New Roman" w:eastAsia="仿宋_GB2312"/>
          <w:color w:val="000000"/>
          <w:kern w:val="2"/>
          <w:sz w:val="32"/>
          <w:szCs w:val="32"/>
        </w:rPr>
        <w:t>开发组织工程支架材料，制备三维空间功能化组织工程支架，提取培养人体原代细胞，构建适用于药物评估的微流控器官芯片模型，开展药物筛选，研发相应器官疾病靶向药物，推动新药的研发和医疗技术的突破。</w:t>
      </w:r>
    </w:p>
    <w:p>
      <w:pPr>
        <w:spacing w:line="560" w:lineRule="exact"/>
        <w:ind w:firstLine="643" w:firstLineChars="200"/>
        <w:rPr>
          <w:b/>
          <w:bCs/>
          <w:color w:val="000000"/>
          <w:sz w:val="32"/>
          <w:szCs w:val="32"/>
        </w:rPr>
      </w:pPr>
      <w:r>
        <w:rPr>
          <w:rFonts w:eastAsia="仿宋_GB2312"/>
          <w:b/>
          <w:bCs/>
          <w:color w:val="000000"/>
          <w:sz w:val="32"/>
          <w:szCs w:val="32"/>
        </w:rPr>
        <w:t>绩效目标：</w:t>
      </w:r>
      <w:r>
        <w:rPr>
          <w:rFonts w:eastAsia="仿宋_GB2312"/>
          <w:color w:val="000000"/>
          <w:sz w:val="32"/>
          <w:szCs w:val="32"/>
        </w:rPr>
        <w:t>全面升级现有器官芯片的构建水平，在芯片的构建和模拟人体内真实环境的层面达到国际先进水平，能够更科学地对新药研发和老药新用进行多指标评估，显现重要的临床应用价值，能够开发2种用于药物筛选的微流控器官芯片。</w:t>
      </w:r>
    </w:p>
    <w:p>
      <w:pPr>
        <w:spacing w:line="560" w:lineRule="exact"/>
        <w:ind w:firstLine="643" w:firstLineChars="200"/>
        <w:rPr>
          <w:rFonts w:eastAsia="仿宋_GB2312"/>
          <w:b/>
          <w:bCs/>
          <w:sz w:val="32"/>
          <w:szCs w:val="32"/>
        </w:rPr>
      </w:pPr>
      <w:r>
        <w:rPr>
          <w:rFonts w:eastAsia="仿宋_GB2312"/>
          <w:b/>
          <w:bCs/>
          <w:sz w:val="32"/>
          <w:szCs w:val="32"/>
        </w:rPr>
        <w:t xml:space="preserve">（二）专题名称：超便捷可多方式投送智能化移动医院平台 </w:t>
      </w:r>
    </w:p>
    <w:p>
      <w:pPr>
        <w:pStyle w:val="4"/>
        <w:widowControl/>
        <w:shd w:val="clear" w:color="auto" w:fill="FFFFFF"/>
        <w:wordWrap w:val="0"/>
        <w:spacing w:line="560" w:lineRule="exact"/>
        <w:ind w:firstLine="643" w:firstLineChars="200"/>
        <w:rPr>
          <w:rFonts w:hint="default" w:ascii="Times New Roman" w:hAnsi="Times New Roman" w:eastAsia="仿宋_GB2312"/>
          <w:kern w:val="2"/>
          <w:sz w:val="32"/>
          <w:szCs w:val="32"/>
        </w:rPr>
      </w:pPr>
      <w:r>
        <w:rPr>
          <w:rFonts w:hint="default" w:ascii="Times New Roman" w:hAnsi="Times New Roman" w:eastAsia="仿宋_GB2312"/>
          <w:b/>
          <w:bCs/>
          <w:color w:val="000000"/>
          <w:sz w:val="32"/>
          <w:szCs w:val="32"/>
        </w:rPr>
        <w:t>主要研究内容：</w:t>
      </w:r>
      <w:r>
        <w:rPr>
          <w:rFonts w:hint="default" w:ascii="Times New Roman" w:hAnsi="Times New Roman" w:eastAsia="仿宋_GB2312"/>
          <w:kern w:val="2"/>
          <w:sz w:val="32"/>
          <w:szCs w:val="32"/>
        </w:rPr>
        <w:t>设计及研发高折展比移动医院平台结构，研发与集成关键配套医疗设备，开展野外环境节能技术应用研究，研发与移动医院配套的机动辅助机器人，构建模块化快速部署机动医疗作业平台单元，完成系统集成与测试。</w:t>
      </w:r>
    </w:p>
    <w:p>
      <w:pPr>
        <w:pStyle w:val="4"/>
        <w:widowControl/>
        <w:shd w:val="clear" w:color="auto" w:fill="FFFFFF"/>
        <w:wordWrap w:val="0"/>
        <w:spacing w:line="560" w:lineRule="exact"/>
        <w:ind w:firstLine="643" w:firstLineChars="200"/>
        <w:jc w:val="both"/>
        <w:rPr>
          <w:rFonts w:hint="default" w:ascii="Times New Roman" w:hAnsi="Times New Roman" w:eastAsia="仿宋_GB2312"/>
          <w:kern w:val="2"/>
          <w:sz w:val="32"/>
          <w:szCs w:val="32"/>
        </w:rPr>
      </w:pPr>
      <w:r>
        <w:rPr>
          <w:rFonts w:hint="default" w:ascii="Times New Roman" w:hAnsi="Times New Roman" w:eastAsia="仿宋_GB2312"/>
          <w:b/>
          <w:bCs/>
          <w:sz w:val="32"/>
          <w:szCs w:val="32"/>
        </w:rPr>
        <w:t>绩效目标：</w:t>
      </w:r>
      <w:r>
        <w:rPr>
          <w:rFonts w:hint="default" w:ascii="Times New Roman" w:hAnsi="Times New Roman" w:eastAsia="仿宋_GB2312"/>
          <w:kern w:val="2"/>
          <w:sz w:val="32"/>
          <w:szCs w:val="32"/>
        </w:rPr>
        <w:t>采用刚性折纸与厚板折纸理论，研制全新高折展比结构，折展比不低于1:4，有效作业面积不低于20 m2/舱；采用高强度轻量化材料，整舱质量面积比较原有舱体减重一半以上；能够通过空中、公路、铁路和水路机动，设置的吊装设施适合直升机吊挂；展开时间≤30 min；能够开展紧急救命手术；可依托5G等通信技术建立远程诊疗系统；具备环境温度控制能力，作业温度范围：-20℃-40℃；具备应急供电系统，输出功率不小于10Kw；具备应急现场制供氧能力，制氧量不低于10L/min，制氧浓度不低于90%（V/V）。</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500BB"/>
    <w:rsid w:val="38350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after="0" w:line="500" w:lineRule="exact"/>
      <w:ind w:firstLine="420"/>
    </w:pPr>
    <w:rPr>
      <w:rFonts w:ascii="仿宋_GB2312" w:hAnsi="Calibri" w:eastAsia="仿宋_GB2312"/>
      <w:kern w:val="0"/>
      <w:sz w:val="28"/>
    </w:rPr>
  </w:style>
  <w:style w:type="paragraph" w:styleId="3">
    <w:name w:val="Body Text"/>
    <w:basedOn w:val="1"/>
    <w:next w:val="2"/>
    <w:qFormat/>
    <w:uiPriority w:val="0"/>
    <w:pPr>
      <w:spacing w:after="120"/>
    </w:p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5">
    <w:name w:val="Normal (Web)"/>
    <w:basedOn w:val="1"/>
    <w:unhideWhenUsed/>
    <w:qFormat/>
    <w:uiPriority w:val="0"/>
    <w:pPr>
      <w:widowControl/>
      <w:jc w:val="left"/>
    </w:pPr>
    <w:rPr>
      <w:rFonts w:ascii="宋体" w:hAnsi="宋体" w:cs="宋体"/>
      <w:b/>
      <w:bCs/>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2021-03-04T03:31:00Z</dcterms:created>
  <dc:creator>(=￣ ρ￣=) ..zzZZ</dc:creator>
  <cp:lastModifiedBy>(=￣ ρ￣=) ..zzZZ</cp:lastModifiedBy>
  <dcterms:modified xsi:type="dcterms:W3CDTF">2021-03-04T03:31:04Z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